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banana bread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p w:rsidR="00827634" w:rsidRPr="0069446B" w:rsidP="009E5102" w14:paraId="0577B65B" w14:textId="600A4325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0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0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Aunque no se identifican riesgos específicos, el personal de primeros auxilios debe usar protección ocular, guantes y mascarilla desechable. Se debe considerar el uso de protección adicional si hay probabilidad de que la exposición se repita o se prolongue.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Vainilla. Afrutado.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banana bread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1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1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banana bread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2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2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banana bread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banana bread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14/09/2026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B48876-CDDF-48B0-AD36-F8E423C44E84}"/>
</file>

<file path=customXml/itemProps3.xml><?xml version="1.0" encoding="utf-8"?>
<ds:datastoreItem xmlns:ds="http://schemas.openxmlformats.org/officeDocument/2006/customXml" ds:itemID="{3BCAEDCE-CF25-4272-B3AA-65F5FE765499}"/>
</file>

<file path=customXml/itemProps4.xml><?xml version="1.0" encoding="utf-8"?>
<ds:datastoreItem xmlns:ds="http://schemas.openxmlformats.org/officeDocument/2006/customXml" ds:itemID="{B92C8542-2E26-4A33-96AF-492BE0F38A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