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citron meringuée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citral; p-methoxybenzyl acetate;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vanillin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121-32-4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p-methoxybenzyl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104-21-2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203-185-8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(Inhalación),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Oriental. balsámico.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vanillin (121-32-4)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3160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p-methoxybenzyl acetate (104-21-2)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de peso corporal Animal: rat, Animal sex: male, Guideline: OECD Guideline 401 (Acute Oral Toxicity), 95% CL: 1,33 - 1,54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vanillin (121-32-4)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mg/kg de peso corporal Animal: rat, Animal sex: female,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p-methoxybenzyl acetate (104-21-2)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citron meringuée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vanillin (121-32-4)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87,6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5,9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p-methoxybenzyl acetate (104-21-2)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59,9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citron meringuée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vanillin (121-32-4)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p-methoxybenzyl acetate (104-21-2)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p-methoxybenzyl acetate ; benzyl benzoate ; benzaldehyde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 ; benzaldehyde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citron meringuée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citron meringuée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08/06/2026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050A0-53CC-4D6C-A6AC-4249C2A5C8E8}"/>
</file>

<file path=customXml/itemProps3.xml><?xml version="1.0" encoding="utf-8"?>
<ds:datastoreItem xmlns:ds="http://schemas.openxmlformats.org/officeDocument/2006/customXml" ds:itemID="{A92310D9-A874-4E02-8748-3CD384025746}"/>
</file>

<file path=customXml/itemProps4.xml><?xml version="1.0" encoding="utf-8"?>
<ds:datastoreItem xmlns:ds="http://schemas.openxmlformats.org/officeDocument/2006/customXml" ds:itemID="{6D7E198E-2FBD-40EC-AAAC-202650F16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