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cerise noire et santal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1-(1,2,3,4,5,6,7,8-octahydro-2,3,8,8-tetramethyl-2-naphthyl)ethan-1-one, coumarin, cinnamaldehyde.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Acute 1, H400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maderoso.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cerise noire et santal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cerise noire et santal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1-(1,2,3,4,5,6,7,8-octahydro-2,3,8,8-tetramethyl-2-naphthyl)ethan-1-one, coumarin, cinnamaldehyde.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18/05/2026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18/05/2026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cerise noire et santal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cerise noire et santal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18/05/2026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FF24E8-89F8-4A66-A905-AD2BF694D09F}"/>
</file>

<file path=customXml/itemProps3.xml><?xml version="1.0" encoding="utf-8"?>
<ds:datastoreItem xmlns:ds="http://schemas.openxmlformats.org/officeDocument/2006/customXml" ds:itemID="{4D0C3127-4B10-47E7-B5AF-6677B9B9EEEB}"/>
</file>

<file path=customXml/itemProps4.xml><?xml version="1.0" encoding="utf-8"?>
<ds:datastoreItem xmlns:ds="http://schemas.openxmlformats.org/officeDocument/2006/customXml" ds:itemID="{06F16A10-F07C-4AC6-A814-BAB9D1A947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