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cerise noire et santal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1-(1,2,3,4,5,6,7,8-octahydro-2,3,8,8-tetramethyl-2-naphthyl)ethan-1-one, coumarin, ethyl 2,3-epoxy-3-phenylbutyrate, cinnamaldehyde.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maderoso.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de peso corporal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cerise noire et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cerise noire et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1-(1,2,3,4,5,6,7,8-octahydro-2,3,8,8-tetramethyl-2-naphthyl)ethan-1-one, coumarin, ethyl 2,3-epoxy-3-phenylbutyrate, cinnamaldehyde.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cerise noire et santal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cerise noire et santal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18/05/2026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728F96-CD1C-49F5-B115-7F7565574C79}"/>
</file>

<file path=customXml/itemProps3.xml><?xml version="1.0" encoding="utf-8"?>
<ds:datastoreItem xmlns:ds="http://schemas.openxmlformats.org/officeDocument/2006/customXml" ds:itemID="{2C5E2A61-409D-43AF-B59D-3AFE9AF951F7}"/>
</file>

<file path=customXml/itemProps4.xml><?xml version="1.0" encoding="utf-8"?>
<ds:datastoreItem xmlns:ds="http://schemas.openxmlformats.org/officeDocument/2006/customXml" ds:itemID="{298B1CE6-1FE0-4495-8889-3FE284482A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