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calanque de cassis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linalyl acetate, 3,7-dimethylnona-1,6-dien-3-ol, citral, linalool, LIMONENE, acetyl cedrene.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2,6768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Helecho. Hesperidaceae. Ámbar. Marino.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de peso corporal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de peso corporal Animal: rat, Guideline: OECD Guideline 408 (Repeated Dose 90-Day Oral Toxicity Study in Rodents)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calanque de cassis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calanque de cassis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linalool ; d-limonene ; benzyl benzoate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benzoate ; 1,3,4,6,7,8-hexahydro-4,6,6,7,8,8-hexamethylindeno[5,6-c]pyran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inflamables.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linalyl acetate, 3,7-dimethylnona-1,6-dien-3-ol, citral, linalool, LIMONENE, acetyl cedrene.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calanque de cassis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calanque de cassis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23/07/2026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2A5542-55CA-4551-BC4C-55B4B2951447}"/>
</file>

<file path=customXml/itemProps3.xml><?xml version="1.0" encoding="utf-8"?>
<ds:datastoreItem xmlns:ds="http://schemas.openxmlformats.org/officeDocument/2006/customXml" ds:itemID="{3C2A95B1-29A3-46E0-919C-7D8416F3F0C7}"/>
</file>

<file path=customXml/itemProps4.xml><?xml version="1.0" encoding="utf-8"?>
<ds:datastoreItem xmlns:ds="http://schemas.openxmlformats.org/officeDocument/2006/customXml" ds:itemID="{E8C0FAC2-5EC7-42D6-B3E1-65C4D9B08A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