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bredele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de peso corporal)</w:t>
              <w:br/>
              <w:t>Acute Tox. 3 (Inhalación), H331</w:t>
              <w:br/>
              <w:t>Skin Irrit. 2, H315</w:t>
              <w:br/>
              <w:t>Eye Dam. 1, H318</w:t>
              <w:br/>
              <w:t>Skin Sens. 1, H317</w:t>
              <w:br/>
              <w:t>STOT RE 2, H373</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Diacetilo</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5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5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Alimentario.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Toxicidad específica en determinados órganos (STOT) – exposición repetida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Puede provocar daños en los órganos tras exposiciones prolongadas o repetidas.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bredele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bredele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(cutánea),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Exposiciones repetidas, categoría 2</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en caso de inhalación.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 tras exposiciones prolongadas o repetidas.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bredele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bredele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30/09/2026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C088F5-BF49-4857-A98C-49BA1FA7DCD6}"/>
</file>

<file path=customXml/itemProps3.xml><?xml version="1.0" encoding="utf-8"?>
<ds:datastoreItem xmlns:ds="http://schemas.openxmlformats.org/officeDocument/2006/customXml" ds:itemID="{4A712CBF-87B2-4420-8D7A-DFB4FB01A4F1}"/>
</file>

<file path=customXml/itemProps4.xml><?xml version="1.0" encoding="utf-8"?>
<ds:datastoreItem xmlns:ds="http://schemas.openxmlformats.org/officeDocument/2006/customXml" ds:itemID="{C6F4DB7D-5367-4514-BB17-9D888418751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