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bouquet solaire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rue de la clef des champs</w:t>
              <w:br/>
              <w:t>68600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citronellol, benzyl salicylate, coumarin, 1-(1,2,3,4,5,6,7,8-octahydro-2,3,8,8-tetramethyl-2-naphthyl)ethan-1-one, linalool, acetyl cedrene, LIMONENE.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1,1669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0,5544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0,4683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Leñoso.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de peso corporal Animal: rat, Guideline: OECD Guideline 408 (Repeated Dose 90-Day Oral Toxicity Study in Rodents)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bouquet solaire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bouquet solaire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salicylate ; linalool ; acetyl cedrene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acetyl cedrene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citronellol, benzyl salicylate, coumarin, 1-(1,2,3,4,5,6,7,8-octahydro-2,3,8,8-tetramethyl-2-naphthyl)ethan-1-one, linalool, acetyl cedrene, LIMONENE.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bouquet solaire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2948"/>
      <w:gridCol w:w="4535"/>
      <w:gridCol w:w="3005"/>
    </w:tblGrid>
    <w:tr w14:paraId="48CF5240" w14:textId="77777777" w:rsidTr="008F5B08">
      <w:tblPrEx>
        <w:tblW w:w="10488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 w:val="restart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DB1125" w:rsidP="00DB1125" w14:paraId="2F81A3AB" w14:textId="70304125">
          <w:pPr>
            <w:pStyle w:val="SDSTableTextHeader"/>
          </w:pPr>
          <w:r>
            <w:drawing>
              <wp:inline>
                <wp:extent cx="1714500" cy="624078"/>
                <wp:docPr id="100001" name="" descr="Logo pou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1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24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8F5B08" w14:paraId="1B70934B" w14:textId="4DAE3794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bouquet solaire 7%</w:t>
          </w:r>
        </w:p>
      </w:tc>
    </w:tr>
    <w:tr w14:paraId="7D50F31A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P="00DB1125" w14:paraId="54934F52" w14:textId="77777777">
          <w:pPr>
            <w:pStyle w:val="SDSTableTextHeader"/>
          </w:pPr>
        </w:p>
      </w:tc>
      <w:tc>
        <w:tcPr>
          <w:tcW w:w="453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DB1125" w14:paraId="3256D01C" w14:textId="2272BE3F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8F5B08" w14:paraId="45A8F1CC" w14:textId="64A3CD0E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2CED3BEE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P="00DB1125" w14:paraId="258B1E0A" w14:textId="77777777">
          <w:pPr>
            <w:pStyle w:val="SDSTableTextHeader"/>
          </w:pPr>
        </w:p>
      </w:tc>
      <w:tc>
        <w:tcPr>
          <w:tcW w:w="754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8F5B08" w14:paraId="650C2731" w14:textId="5DC8054E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8F5B08" w14:paraId="31267F45" w14:textId="67A5CBF0">
          <w:pPr>
            <w:pStyle w:val="SDSTableTextHeader"/>
          </w:pPr>
          <w:r>
            <w:rPr>
              <w:noProof/>
            </w:rPr>
            <w:t>Fecha de emisión: 22/05/2026   Versión: 1.0</w:t>
          </w:r>
        </w:p>
      </w:tc>
    </w:tr>
    <w:tr w14:paraId="0930DE40" w14:textId="77777777" w:rsidTr="00AE7B57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2948" w:type="dxa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371194" w:rsidP="00371194" w14:paraId="2420E657" w14:textId="77777777">
          <w:pPr>
            <w:pStyle w:val="SDSTextBlankLine"/>
          </w:pPr>
        </w:p>
      </w:tc>
      <w:tc>
        <w:tcPr>
          <w:tcW w:w="754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371194" w14:paraId="1D31590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44FFF-9C34-419F-9CC5-852EE88E5B21}"/>
</file>

<file path=customXml/itemProps3.xml><?xml version="1.0" encoding="utf-8"?>
<ds:datastoreItem xmlns:ds="http://schemas.openxmlformats.org/officeDocument/2006/customXml" ds:itemID="{38472138-0AB1-41CF-98CC-8FD14E4E5495}"/>
</file>

<file path=customXml/itemProps4.xml><?xml version="1.0" encoding="utf-8"?>
<ds:datastoreItem xmlns:ds="http://schemas.openxmlformats.org/officeDocument/2006/customXml" ds:itemID="{EE34B24A-633E-426C-A806-91F57633A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