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beurre doux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cinnamaldehyde; 4-hydroxy-2,5-dimethylfuran-2(3H)-one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  <w:br/>
              <w:t>P302+P352 - EN CASO DE CONTACTO CON LA PIEL: lavar abundantemente con agua y jabón.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204-602-6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0,3003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Corr. 1B, H314</w:t>
              <w:br/>
              <w:t>Eye Dam. 1, H318</w:t>
              <w:br/>
              <w:t>Skin Sens. 1A,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0,01001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Vainilla.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de peso corporal Animal: rat, Guideline: OECD Guideline 401 (Acute Oral Toxicity), 95% CL: 2755 - 3600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de peso corporal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de peso corporal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beurre doux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beurre doux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para la reproducción,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quemaduras graves en la piel y lesiones oculares graves.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 sospecha que puede perjudicar la fertilidad o dañar el feto.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23/06/2026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23/06/2026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beurre doux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beurre doux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23/06/2026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C8A425-0563-43C0-8A52-ED817B0BF853}"/>
</file>

<file path=customXml/itemProps3.xml><?xml version="1.0" encoding="utf-8"?>
<ds:datastoreItem xmlns:ds="http://schemas.openxmlformats.org/officeDocument/2006/customXml" ds:itemID="{1F8251C7-4584-4525-9645-0AAE532B6082}"/>
</file>

<file path=customXml/itemProps4.xml><?xml version="1.0" encoding="utf-8"?>
<ds:datastoreItem xmlns:ds="http://schemas.openxmlformats.org/officeDocument/2006/customXml" ds:itemID="{0B9C8E8F-1C08-4561-AE7C-E1CB82EA15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