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balade en foret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Sólidos inflamables No clasificado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METHYLENEDIOXYPHENYL METHYLPROPANAL, CEDROL METHYL ETHER, BENZYL SALICYLATE, BETA-CARYOPHYLLENE, TETRAMETHYL ACETYLOCTAHYDRONAPHTHALENES.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éter metílico de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0,6419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caryophyllene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87-44-5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201-746-1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α-methyl-1,3-benzodioxole-5-propionaldehyde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214-881-6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605-042-00-9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Ninguno en condiciones normales. El polvo puede provocar una irritación en los pliegues de la piel o por contacto si se lleva ropa ajustada.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 la zona de derrame.</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β-pineno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Leñoso. Acuoso. Cuero.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α-methyl-1,3-benzodioxole-5-propionaldehyde (1205-17-0)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caryophyllene (87-44-5)</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&gt; 5000 mg/kg de peso corporal Animal: mouse, Animal sex: male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α-methyl-1,3-benzodioxole-5-propionaldehyde (1205-17-0)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peso corporal Animal: rat, Animal sex: male, Guideline: OECD Guideline 422 (Combined Repeated Dose Toxicity Study with the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mg/kg de peso corporal Animal: rat, Animal sex: female, Guideline: OECD Guideline 422 (Combined Repeated Dose Toxicity Study with the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balade en foret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α-methyl-1,3-benzodioxole-5-propionaldehyde (1205-17-0)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5,3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28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caryophyllene (87-44-5)</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0,033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balade en foret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pin-2(10)-ene (127-91-3)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α-methyl-1,3-benzodioxole-5-propionaldehyde (1205-17-0)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éter metílico de cedro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caryophyllene (87-44-5)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 ; caryophyllene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 clasificado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Sólidos inflamables No clasificado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METHYLENEDIOXYPHENYL METHYLPROPANAL, CEDROL METHYL ETHER, BENZYL SALICYLATE, BETA-CARYOPHYLLENE, TETRAMETHYL ACETYLOCTAHYDRONAPHTHALENES.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 clasificado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Criterio experto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balade en foret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balade en foret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09/10/2026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6784B85-075A-4E33-BB73-AACDAEEF013B}"/>
</file>

<file path=customXml/itemProps3.xml><?xml version="1.0" encoding="utf-8"?>
<ds:datastoreItem xmlns:ds="http://schemas.openxmlformats.org/officeDocument/2006/customXml" ds:itemID="{7D5B476A-E79F-4542-B1EE-26CA691DB5E0}"/>
</file>

<file path=customXml/itemProps4.xml><?xml version="1.0" encoding="utf-8"?>
<ds:datastoreItem xmlns:ds="http://schemas.openxmlformats.org/officeDocument/2006/customXml" ds:itemID="{EE3C5B44-80B5-4994-A2CD-0ED02864447F}"/>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