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ambre vanille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CEDROL METHYL ETHER, (E)-1-(2,6,6-trimethyl-1,3-cyclohexadien-1-yl)-2-buten-1-one, TETRAMETHYL ACETYLOCTAHYDRONAPHTHALENES, COUMARIN, linalool, CINNAMAL.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éter metílico de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(Inhalación), H332 (ATE=1,5 mg/l/4h)</w:t>
              <w:br/>
              <w:t>Skin Irrit. 2, H315</w:t>
              <w:br/>
              <w:t>Skin Sens. 1A,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(Cutánea), H312 (ATE=1260 mg/kg de peso corporal)</w:t>
              <w:br/>
              <w:t>Skin Irrit. 2, H315</w:t>
              <w:br/>
              <w:t>Eye Irrit. 2, H319</w:t>
              <w:br/>
              <w:t>Skin Sens. 1A,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43"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4"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balsámico. Leñoso. Vainilla.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EU Method B.1 (Acute Toxicity (Oral))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peso corporal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peso corporal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peso corporal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peso corporal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peso corporal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Inhalación - Rata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de peso corporal Animal: rat, Guideline: OECD Guideline 408 (Repeated Dose 90-Day Oral Toxicity Study in Rodents)</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30 mg/kg de peso corporal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ambre vanille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ambre vanille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éter metílico de cedro (19870-74-7)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alpha-cedreno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(E)-1-(2,6,6-trimethyl-1,3-cyclohexadien-1-yl)-2-buten-1-one ; linalool ; cinnamaldehyde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(E)-1-(2,6,6-trimethyl-1,3-cyclohexadien-1-yl)-2-buten-1-one ; cinnamaldehyde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(por inhalación),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CEDROL METHYL ETHER, (E)-1-(2,6,6-trimethyl-1,3-cyclohexadien-1-yl)-2-buten-1-one, TETRAMETHYL ACETYLOCTAHYDRONAPHTHALENES, COUMARIN, linalool, CINNAMAL.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ambre vanille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ambre vanille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13/08/2026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230B871-9E3F-43B6-AA54-504EC9B68237}"/>
</file>

<file path=customXml/itemProps3.xml><?xml version="1.0" encoding="utf-8"?>
<ds:datastoreItem xmlns:ds="http://schemas.openxmlformats.org/officeDocument/2006/customXml" ds:itemID="{7D532718-73CA-4C00-9CDC-B689B3AAE505}"/>
</file>

<file path=customXml/itemProps4.xml><?xml version="1.0" encoding="utf-8"?>
<ds:datastoreItem xmlns:ds="http://schemas.openxmlformats.org/officeDocument/2006/customXml" ds:itemID="{2585BC55-81A9-4153-A1AF-EAE4C78A3AA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