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Monoï rosé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citronellol; geranyl acetate; geraniol; benzyl salicylate; linalyl acetate; linalool; nerol; [3R-(3α,3aβ,6α,7β,8aα)]-octahydro-3,6,8,8-tetramethyl-1H-3a,7-methanoazulen-5-yl acetate; p-methoxybenzyl acetate; 2-benzylideneheptanal; isopentyl salicylate;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no incluida(s) en la lista establecida con arreglo al artículo 59, apartado 1, de REACH por sus propiedades de alteración endocrina, o por no tener propiedades de alteración endocrina con arreglo a los criterios establecidos en el Reglamento Delegado (UE) 2017/2100 de la Comisión o en el Reglamento (UE) 2018/605 de la Comisión.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1,632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2-phenylethanol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60-12-8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200-456-2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1,053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(ATE=1610 mg/kg)</w:t>
              <w:br/>
              <w:t>Eye Irrit. 2, H319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Naranja.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de peso corporal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de peso corporal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2535 mg/kg de peso corporal Animal: rabbit, Guideline: OECD Guideline 402 (Acute Dermal Toxicity), 95% CL: 1769 - 3634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4,63 mg/l air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de peso corporal Animal: rat, Animal sex: male, Guideline: OECD Guideline 401 (Acute Oral Toxicity), 95% CL: 3400 - 5600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de peso corporal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510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Monoï rosé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215 – 464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287,17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Monoï rosé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2.1 a 2.4, 2.6 y 2.7, 2.8 tipos A y B, 2.9, 2.10, 2.12, 2.13 categorías 1 y 2, 2.14 categorías 1 y 2, 2.15 tipos A a 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geraniol ; benzyl salicylate ; linalyl acetate ; linalool ; d-limonene ; 2-phenylethanol ; nerol ; [3R-(3α,3aβ,6α,7β,8aα)]-octahydro-3,6,8,8-tetramethyl-1H-3a,7-methanoazulen-5-yl acetate ; p-methoxybenzyl acetate ; benzyl alcohol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[3R-(3α,3aβ,6α,7β,8aα)]-octahydro-3,6,8,8-tetramethyl-1H-3a,7-methanoazulen-5-yl acetate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Monoï rosé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Monoï rosé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30/07/2026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D54838-66BD-441F-8046-4CD62D0FEF69}"/>
</file>

<file path=customXml/itemProps3.xml><?xml version="1.0" encoding="utf-8"?>
<ds:datastoreItem xmlns:ds="http://schemas.openxmlformats.org/officeDocument/2006/customXml" ds:itemID="{0D9C8463-EE56-4FC5-815B-69D2E164093C}"/>
</file>

<file path=customXml/itemProps4.xml><?xml version="1.0" encoding="utf-8"?>
<ds:datastoreItem xmlns:ds="http://schemas.openxmlformats.org/officeDocument/2006/customXml" ds:itemID="{C741E9C2-0C27-4072-8BF7-34BE875B82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