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224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Peligroso para el medio acuático - Peligro crónico,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Puede provocar una reacción alérgica en la piel. Nocivo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3,7-dimethylnona-1,6-dien-3-ol; piperonal; linalyl acetate; alpha-iso-methylionone; linalool; d-limonene; 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Puede provocar una alergia cutánea.</w:t>
              <w:br/>
              <w:t>H412 - Nocivo para los organismos acuáticos, provoca efectos adversos a largo plazo.</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P302+P352 - EN CASO DE CONTACTO CON LA PIEL: Lavar abundantemente agua y jabón.</w:t>
              <w:br/>
              <w:t>P333+P313 - En caso de irritación o erupción cutánea: consultar a un médico.</w:t>
              <w:br/>
              <w:t>P501 - Eliminar el contenido y 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acetate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140-11-4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205-399-7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piperonal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120-57-0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0,0287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alpha-pinene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0,0091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 H317</w:t>
              <w:br/>
              <w:t>Asp. Tox. 1, H304</w:t>
              <w:br/>
              <w:t>Aquatic Acute 1, H400</w:t>
              <w:br/>
              <w:t>Aquatic Chronic 1, H410</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β-pineno (monoterpeno)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acetate</w:t>
            </w:r>
            <w:r w:rsidRPr="0069446B">
              <w:rPr>
                <w:noProof w:val="0"/>
                <w:color w:val="auto"/>
              </w:rPr>
              <w:t xml:space="preserve"> </w:t>
            </w:r>
            <w:r w:rsidRPr="0069446B" w:rsidR="00FD53E4">
              <w:rPr>
                <w:noProof/>
                <w:color w:val="auto"/>
              </w:rPr>
              <w:t>(140-11-4)</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Acetato de bencilo</w:t>
            </w:r>
          </w:p>
        </w:tc>
      </w:tr>
      <w:tr w14:paraId="70951C3E"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62 mg/m³</w:t>
            </w:r>
          </w:p>
        </w:tc>
      </w:tr>
      <w:tr w14:paraId="70951C3F"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ppm</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alpha-pinene</w:t>
            </w:r>
            <w:r w:rsidRPr="0069446B">
              <w:rPr>
                <w:noProof w:val="0"/>
                <w:color w:val="auto"/>
              </w:rPr>
              <w:t xml:space="preserve"> </w:t>
            </w:r>
            <w:r w:rsidRPr="0069446B" w:rsidR="00FD53E4">
              <w:rPr>
                <w:noProof/>
                <w:color w:val="auto"/>
              </w:rPr>
              <w:t>(80-56-8)</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46"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47"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En polvo.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3,7-dimethylnona-1,6-dien-3-ol (10339-55-6)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5283 mg/kg de peso corporal Animal: mouse, Animal sex: male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peso corporal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piperonal (120-57-0)</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2700 mg/kg de peso corporal Animal: rat, Guideline: OECD Guideline 401 (Acute Oral Toxicity), 95% CL: 2350 - 3100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5000 mg/kg de peso corporal Animal: rat, Guideline: other:,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de peso corporal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acetate (140-11-4)</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peso corporal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de peso corporal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peso corporal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alpha-pinene (80-56-8)</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(animal/macho,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de peso corporal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piperonal (120-57-0)</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300 mg/kg de peso corporal Animal: rat, Guideline: OECD Guideline 422 (Combined Repeated Dose Toxicity Study with the Reproduction / Developmental Toxicity Screening Test),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de peso corporal Animal: rat, Animal sex: male, Guideline: OECD Guideline 408 (Repeated Dose 90-Day Oral Toxicity Study in Rodents)</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de peso corporal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224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Nocivo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para los organismos acuáticos, provoca efectos adversos a largo plazo.</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3,7-dimethylnona-1,6-dien-3-ol (10339-55-6)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24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13,3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piperonal (120-57-0)</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acetate (140-11-4)</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 mg/l Test organisms (species): Oryzias latipes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110 mg/l Test organisms (species): Desmodesmus subspicatus (previous name: Scenedesmus subspicatus)</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92 mg/l Test organisms (species): Desmodesmus subspicatus (previous name: Scenedesmus subspicatus)</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0,92 mg/l Test organisms (species): Oryzias latipes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alpha-pinene (80-56-8)</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224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pin-2(10)-ene (127-91-3)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piperonal (120-57-0)</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acetate (140-11-4)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alpha-pinene (80-56-8)</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Difícil biodegradabilidad.</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alpha-iso-methylionone ; benzyl acetate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3,7-dimethylnona-1,6-dien-3-ol ; linalyl acetate ; alpha-iso-methylionone ; linalool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Contiene una o varias sustancias incluidas en la lista de precursores de drogas (Reglamento CE 273/2004 relativa a la fabricación y puesta en el mercado de determinadas sustancias utilizadas para la fabricación ilícita de estupefacientes y sustancias psicotrópicas)</w:t>
            </w:r>
          </w:p>
        </w:tc>
      </w:tr>
    </w:tbl>
    <w:tbl>
      <w:tblPr>
        <w:tblStyle w:val="SDSTableWithBordersWithHeaderRow"/>
        <w:tblW w:w="10490" w:type="dxa"/>
        <w:tblLayout w:type="fixed"/>
        <w:tblLook w:val="04A0"/>
      </w:tblPr>
      <w:tblGrid>
        <w:gridCol w:w="2267"/>
        <w:gridCol w:w="1275"/>
        <w:gridCol w:w="1276"/>
        <w:gridCol w:w="1418"/>
        <w:gridCol w:w="1418"/>
        <w:gridCol w:w="1418"/>
        <w:gridCol w:w="1418"/>
      </w:tblGrid>
      <w:tr w14:paraId="0B83201E" w14:textId="77777777" w:rsidTr="005C557D">
        <w:tblPrEx>
          <w:tblW w:w="10490" w:type="dxa"/>
          <w:tblLayout w:type="fixed"/>
          <w:tblLook w:val="04A0"/>
        </w:tblPrEx>
        <w:trPr>
          <w:tblHeader/>
        </w:trPr>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D104D90" w14:textId="15A02BD9">
            <w:pPr>
              <w:pStyle w:val="SDSTableTextHeading1"/>
              <w:rPr>
                <w:noProof w:val="0"/>
                <w:color w:val="auto"/>
              </w:rPr>
            </w:pPr>
            <w:r w:rsidRPr="0069446B" w:rsidR="00FA7F7F">
              <w:rPr>
                <w:noProof/>
                <w:color w:val="auto"/>
              </w:rPr>
              <w:t>Nombre</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57C5252" w14:textId="5225E603">
            <w:pPr>
              <w:pStyle w:val="SDSTableTextHeading1"/>
              <w:rPr>
                <w:noProof w:val="0"/>
                <w:color w:val="auto"/>
              </w:rPr>
            </w:pPr>
            <w:r w:rsidRPr="0069446B" w:rsidR="00FA7F7F">
              <w:rPr>
                <w:noProof/>
                <w:color w:val="auto"/>
              </w:rPr>
              <w:t>Denominación NC</w:t>
            </w: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D6EF8CB" w14:textId="6606C847">
            <w:pPr>
              <w:pStyle w:val="SDSTableTextHeading1"/>
              <w:rPr>
                <w:noProof w:val="0"/>
                <w:color w:val="auto"/>
              </w:rPr>
            </w:pPr>
            <w:r w:rsidRPr="0069446B" w:rsidR="00FA7F7F">
              <w:rPr>
                <w:noProof/>
                <w:color w:val="auto"/>
              </w:rPr>
              <w:t>N° CAS</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54B57E4" w14:textId="78E35A93">
            <w:pPr>
              <w:pStyle w:val="SDSTableTextHeading1"/>
              <w:rPr>
                <w:noProof w:val="0"/>
                <w:color w:val="auto"/>
              </w:rPr>
            </w:pPr>
            <w:r w:rsidRPr="0069446B" w:rsidR="00FA7F7F">
              <w:rPr>
                <w:noProof/>
                <w:color w:val="auto"/>
              </w:rPr>
              <w:t>Código CN</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96366" w:rsidRPr="0069446B" w:rsidP="00E96366" w14:paraId="53D256F7" w14:textId="6CCA77A9">
            <w:pPr>
              <w:pStyle w:val="SDSTableTextHeading1"/>
              <w:rPr>
                <w:noProof w:val="0"/>
                <w:color w:val="auto"/>
              </w:rPr>
            </w:pPr>
            <w:r w:rsidRPr="0069446B" w:rsidR="00FA7F7F">
              <w:rPr>
                <w:noProof/>
                <w:color w:val="auto"/>
              </w:rPr>
              <w:t>Categoría,</w:t>
            </w:r>
          </w:p>
          <w:p w:rsidR="00A65092" w:rsidRPr="0069446B" w:rsidP="00E96366" w14:paraId="26779EFF" w14:textId="63E11907">
            <w:pPr>
              <w:pStyle w:val="SDSTableTextHeading1"/>
              <w:rPr>
                <w:noProof w:val="0"/>
                <w:color w:val="auto"/>
              </w:rPr>
            </w:pPr>
            <w:r w:rsidRPr="0069446B" w:rsidR="00FA7F7F">
              <w:rPr>
                <w:noProof/>
                <w:color w:val="auto"/>
              </w:rPr>
              <w:t>Subcategoría</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61B55F5" w14:textId="24B2F796">
            <w:pPr>
              <w:pStyle w:val="SDSTableTextHeading1"/>
              <w:rPr>
                <w:noProof w:val="0"/>
                <w:color w:val="auto"/>
              </w:rPr>
            </w:pPr>
            <w:r w:rsidRPr="0069446B" w:rsidR="00FA7F7F">
              <w:rPr>
                <w:noProof/>
                <w:color w:val="auto"/>
              </w:rPr>
              <w:t>Umbral</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BD701E" w14:textId="65E28E50">
            <w:pPr>
              <w:pStyle w:val="SDSTableTextHeading1"/>
              <w:rPr>
                <w:noProof w:val="0"/>
                <w:color w:val="auto"/>
              </w:rPr>
            </w:pPr>
            <w:r w:rsidRPr="0069446B" w:rsidR="00FA7F7F">
              <w:rPr>
                <w:noProof/>
                <w:color w:val="auto"/>
              </w:rPr>
              <w:t>Anexo</w:t>
            </w:r>
          </w:p>
        </w:tc>
      </w:tr>
      <w:tr w14:paraId="23D538E0" w14:textId="77777777" w:rsidTr="005C557D">
        <w:tblPrEx>
          <w:tblW w:w="10490" w:type="dxa"/>
          <w:tblLayout w:type="fixed"/>
          <w:tblLook w:val="04A0"/>
        </w:tblPrEx>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073E40F" w14:textId="559D260D">
            <w:pPr>
              <w:pStyle w:val="SDSTableTextNormal"/>
              <w:rPr>
                <w:noProof w:val="0"/>
              </w:rPr>
            </w:pPr>
            <w:r w:rsidRPr="0069446B" w:rsidR="00FA7F7F">
              <w:rPr>
                <w:noProof/>
              </w:rPr>
              <w:t>Piperonal</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900E007" w14:textId="26A7BDBB">
            <w:pPr>
              <w:pStyle w:val="SDSTableTextNormal"/>
              <w:rPr>
                <w:noProof w:val="0"/>
              </w:rPr>
            </w:pP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9F3871" w14:textId="44E22305">
            <w:pPr>
              <w:pStyle w:val="SDSTableTextNormal"/>
              <w:rPr>
                <w:noProof w:val="0"/>
              </w:rPr>
            </w:pPr>
            <w:r w:rsidRPr="0069446B" w:rsidR="00FA7F7F">
              <w:rPr>
                <w:noProof/>
              </w:rPr>
              <w:t>120-57-0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4454755" w14:textId="57B7AB29">
            <w:pPr>
              <w:pStyle w:val="SDSTableTextNormal"/>
              <w:rPr>
                <w:noProof w:val="0"/>
              </w:rPr>
            </w:pPr>
            <w:r w:rsidRPr="0069446B" w:rsidR="00FA7F7F">
              <w:rPr>
                <w:noProof/>
              </w:rPr>
              <w:t>2932 93 00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0CE3A27" w14:textId="126BB867">
            <w:pPr>
              <w:pStyle w:val="SDSTableTextNormal"/>
              <w:rPr>
                <w:noProof w:val="0"/>
              </w:rPr>
            </w:pPr>
            <w:r w:rsidRPr="0069446B" w:rsidR="00FA7F7F">
              <w:rPr>
                <w:noProof/>
              </w:rPr>
              <w:t>Categoría 1</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99E5CD" w14:textId="1DED112B">
            <w:pPr>
              <w:pStyle w:val="SDSTableTextNormal"/>
              <w:rPr>
                <w:noProof w:val="0"/>
              </w:rPr>
            </w:pP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511B839" w14:textId="55BB0BAA">
            <w:pPr>
              <w:pStyle w:val="SDSTableTextNormal"/>
              <w:rPr>
                <w:noProof w:val="0"/>
              </w:rPr>
            </w:pPr>
            <w:r w:rsidRPr="0069446B" w:rsidR="00FA7F7F">
              <w:rPr>
                <w:noProof/>
              </w:rPr>
              <w:t>Anexo I</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(oral),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perjudicar la fertilidad o dañar el feto.</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28/09/2026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28/09/2026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224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224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(EU) 2020/878</w:t>
          </w:r>
        </w:p>
        <w:p w:rsidR="009C6C12" w:rsidRPr="008F5B08" w:rsidP="00FD6B1D" w14:paraId="512A27C2" w14:textId="1FF61BD5">
          <w:pPr>
            <w:pStyle w:val="SDSTableTextHeader"/>
          </w:pPr>
          <w:r>
            <w:rPr>
              <w:noProof/>
            </w:rPr>
            <w:t>Fecha de emisión: 28/09/2026   Versión: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6A7E19DF-FF11-4791-A83A-61CB15B7B122}"/>
</file>

<file path=customXml/itemProps3.xml><?xml version="1.0" encoding="utf-8"?>
<ds:datastoreItem xmlns:ds="http://schemas.openxmlformats.org/officeDocument/2006/customXml" ds:itemID="{71A898BC-9A4F-4E39-831B-8FE268613F86}"/>
</file>

<file path=customXml/itemProps4.xml><?xml version="1.0" encoding="utf-8"?>
<ds:datastoreItem xmlns:ds="http://schemas.openxmlformats.org/officeDocument/2006/customXml" ds:itemID="{0B2494C0-A85E-4DCB-A377-EA040114C586}"/>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