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224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Peligroso para el medio acuático – Peligro crónico, categoría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Pr>
          <w:noProof/>
        </w:rPr>
        <w:t>Puede provocar una reacción alérgica en la piel. Tóxico para los organismos acuáticos, con efectos nocivos duraderos.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3,7-dimethylnona-1,6-dien-3-ol; piperonal; linalyl acetate; alpha-iso-methylionone; linalool; d-limonene; 1-(1,2,3,4,5,6,7,8-octahydro-2,3,8,8-tetramethyl-2-naphthyl)ethan-1-one; hexyl salicylate; acetyl cedrene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Puede provocar una alergia cutánea.</w:t>
              <w:br/>
              <w:t>H411 - Tóxico para los organismos acuáticos, con efectos duraderos.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P273 - Evitar la liberación al medio ambiente.</w:t>
              <w:br/>
              <w:t>P302+P352 - EN CASO DE CONTACTO CON LA PIEL: Lavar abundantemente agua y jabón.</w:t>
              <w:br/>
              <w:t>P333+P313 - En caso de irritación o erupción cutánea: consultar a un médico.</w:t>
              <w:br/>
              <w:t>P501 - Eliminar el contenido y 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acetate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140-11-4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205-399-7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piperonal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120-57-0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204-409-7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hexyl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6259-76-3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228-408-6</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607-772-00-3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H361d</w:t>
              <w:br/>
              <w:t>STOT RE No clasificado</w:t>
              <w:br/>
              <w:t>Aquatic Acute 1, H400 (M=1)</w:t>
              <w:br/>
              <w:t>Aquatic Chronic 1, H410 (M=1)</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acetyl 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32388-55-9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251-020-3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pin-2(10)-ene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127-91-3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204-872-5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0,041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w:t>
              <w:br/>
              <w:t>Aquatic Chronic 1, H410</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alpha-pinene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 H317</w:t>
              <w:br/>
              <w:t>Asp. Tox. 1, H304</w:t>
              <w:br/>
              <w:t>Aquatic Acute 1, H400</w:t>
              <w:br/>
              <w:t>Aquatic Chronic 1, H410</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Recoger el vertido.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pin-2(10)-ene</w:t>
            </w:r>
            <w:r w:rsidRPr="0069446B">
              <w:rPr>
                <w:noProof w:val="0"/>
                <w:color w:val="auto"/>
              </w:rPr>
              <w:t xml:space="preserve"> </w:t>
            </w:r>
            <w:r w:rsidRPr="0069446B" w:rsidR="00FD53E4">
              <w:rPr>
                <w:noProof/>
                <w:color w:val="auto"/>
              </w:rPr>
              <w:t>(127-91-3)</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β-pineno (monoterpeno)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acetate</w:t>
            </w:r>
            <w:r w:rsidRPr="0069446B">
              <w:rPr>
                <w:noProof w:val="0"/>
                <w:color w:val="auto"/>
              </w:rPr>
              <w:t xml:space="preserve"> </w:t>
            </w:r>
            <w:r w:rsidRPr="0069446B" w:rsidR="00FD53E4">
              <w:rPr>
                <w:noProof/>
                <w:color w:val="auto"/>
              </w:rPr>
              <w:t>(140-11-4)</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Acetato de bencilo</w:t>
            </w:r>
          </w:p>
        </w:tc>
      </w:tr>
      <w:tr w14:paraId="70951C3E"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62 mg/m³</w:t>
            </w:r>
          </w:p>
        </w:tc>
      </w:tr>
      <w:tr w14:paraId="70951C3F"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ppm</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alpha-pinene</w:t>
            </w:r>
            <w:r w:rsidRPr="0069446B">
              <w:rPr>
                <w:noProof w:val="0"/>
                <w:color w:val="auto"/>
              </w:rPr>
              <w:t xml:space="preserve"> </w:t>
            </w:r>
            <w:r w:rsidRPr="0069446B" w:rsidR="00FD53E4">
              <w:rPr>
                <w:noProof/>
                <w:color w:val="auto"/>
              </w:rPr>
              <w:t>(80-56-8)</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α-pineno (monoterpeno)</w:t>
            </w:r>
          </w:p>
        </w:tc>
      </w:tr>
      <w:tr w14:paraId="70951C42"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3"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d-Limoneno</w:t>
            </w:r>
          </w:p>
        </w:tc>
      </w:tr>
      <w:tr w14:paraId="70951C46"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47"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 En polvo.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3,7-dimethylnona-1,6-dien-3-ol (10339-55-6)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5283 mg/kg de peso corporal Animal: mouse, Animal sex: male</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peso corporal Animal: rabbit,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piperonal (120-57-0)</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2700 mg/kg de peso corporal Animal: rat, Guideline: OECD Guideline 401 (Acute Oral Toxicity), 95% CL: 2350 - 3100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5000 mg/kg de peso corporal Animal: rat, Guideline: other:,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de peso corporal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acetate (140-11-4)</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peso corporal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de peso corporal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peso corporal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alpha-pinene (80-56-8)</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hexyl salicylate (6259-76-3)</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de peso corporal Animal: rat, Guideline: OECD Guideline 401 (Acute Oral Toxicity)</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acetyl cedrene (32388-55-9)</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3,7-dimethylnona-1,6-dien-3-ol (10339-55-6)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(animal/macho,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de peso corporal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piperonal (120-57-0)</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300 mg/kg de peso corporal Animal: rat, Guideline: OECD Guideline 422 (Combined Repeated Dose Toxicity Study with the Reproduction / Developmental Toxicity Screening Test),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de peso corporal Animal: rat, Animal sex: male, Guideline: OECD Guideline 408 (Repeated Dose 90-Day Oral Toxicity Study in Rodents)</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50 mg/kg de peso corporal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C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hexyl salicylate (6259-76-3)</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sidR="00FA7F7F">
              <w:rPr>
                <w:noProof/>
                <w:lang w:val="fr-BE"/>
              </w:rPr>
              <w:t>46,9 mg/kg de peso corporal Animal: rat</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(inhalación, rata, polvo/niebla/humo,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0,249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acetyl cedrene (32388-55-9)</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80 mg/kg de peso corporal Animal: rat, Guideline: OECD Guideline 408 (Repeated Dose 90-Day Oral Toxicity Study in Rodents)</w:t>
            </w:r>
          </w:p>
        </w:tc>
      </w:tr>
      <w:tr w14:paraId="32F42FC1"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de peso corporal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224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acetyl cedrene (32388-55-9)</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38,25 mm²/s Temp.: '20°C'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Tóxico para los organismos acuáticos, con efectos nocivos duraderos.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Tóxico para los organismos acuáticos, con efectos duraderos.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3,7-dimethylnona-1,6-dien-3-ol (10339-55-6)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24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13,3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piperonal (120-57-0)</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Cyprinus carpio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6,8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acetate (140-11-4)</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 mg/l Test organisms (species): Oryzias latipes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110 mg/l Test organisms (species): Desmodesmus subspicatus (previous name: Scenedesmus subspicatus)</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92 mg/l Test organisms (species): Desmodesmus subspicatus (previous name: Scenedesmus subspicatus)</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0,92 mg/l Test organisms (species): Oryzias latipes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alpha-pinene (80-56-8)</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hexyl salicylate (6259-76-3)</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0,357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0,61 mg/l Test organisms (species): Desmodesmus subspicatus (previous name: Scenedesmus subspicatus)</w:t>
            </w:r>
          </w:p>
        </w:tc>
      </w:tr>
      <w:tr w14:paraId="14947BF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acetyl cedrene (32388-55-9)</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 mg/l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3 mg/l Test organisms (species): Pimephales promelas</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0,86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2,8 mg/l Test organisms (species): Raphidocelis subcapitata (previous names: Pseudokirchneriella subcapitata, Selenastrum capricornutum)</w:t>
            </w:r>
          </w:p>
        </w:tc>
      </w:tr>
      <w:tr w14:paraId="2AED0D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B0185B1">
            <w:pPr>
              <w:pStyle w:val="SDSTableTextNormal"/>
              <w:rPr>
                <w:noProof w:val="0"/>
              </w:rPr>
            </w:pPr>
            <w:r w:rsidRPr="0069446B" w:rsidR="00FA7F7F">
              <w:rPr>
                <w:noProof/>
              </w:rPr>
              <w:t>CE50 96h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E66021">
            <w:pPr>
              <w:pStyle w:val="SDSTableTextNormal"/>
              <w:rPr>
                <w:noProof w:val="0"/>
              </w:rPr>
            </w:pPr>
            <w:r w:rsidRPr="0069446B">
              <w:rPr>
                <w:noProof/>
              </w:rPr>
              <w:t>&gt; 4,3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0,23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0,087 mg/l Test organisms (species): Daphnia magna Duration: '21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224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pin-2(10)-ene (127-91-3)</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3,7-dimethylnona-1,6-dien-3-ol (10339-55-6)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piperonal (120-57-0)</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acetate (140-11-4)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alpha-pinene (80-56-8)</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Difícil biodegradabilidad.</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hexyl salicylate (6259-76-3)</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acetyl cedrene (32388-55-9)</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Código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“Ecotóxico”: corresponde a los residuos que presentan o pueden presentar riesgos inmediatos o diferidos para uno o más compartimentos del medio ambiente.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SUSTANCIA SÓLIDA POTENCIALMENTE PELIGROSAS PARA EL MEDIO AMBIENTE, N. E. P.</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ENVIRONMENTALLY HAZARDOUS SUBSTANCE, SOLID, N.O.S.</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Pr>
                <w:noProof/>
                <w:color w:val="auto"/>
              </w:rPr>
              <w:t>Descripción del documento del transporte</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SUSTANCIA SÓLIDA POTENCIALMENTE PELIGROSAS PARA EL MEDIO AMBIENTE, N. E. P.,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ENVIRONMENTALLY HAZARDOUS SUBSTANCE, SOLID, N.O.S., 9, III, CONTAMINANTE MARINO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ENVIRONMENTALLY HAZARDOUS SUBSTANCE, SOLID, N.O.S.,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7" name="" descr="Marca de sustancia peligrosa para el medio ambiente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1" name="" descr="Marca de sustancia peligrosa para el medio ambiente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5" name="" descr="Marca de sustancia peligrosa para el medio ambiente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9" name="" descr="Marca de sustancia peligrosa para el medio ambiente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3" name="" descr="Marca de sustancia peligrosa para el medio ambiente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p w:rsidR="00E5555B" w:rsidRPr="0069446B" w:rsidP="00CB352E" w14:paraId="59B4C75B" w14:textId="3A38D38E">
            <w:pPr>
              <w:pStyle w:val="SDSTableTextCentered"/>
              <w:rPr>
                <w:noProof w:val="0"/>
              </w:rPr>
            </w:pPr>
            <w:r w:rsidRPr="0069446B" w:rsidR="00FA7F7F">
              <w:rPr>
                <w:noProof/>
              </w:rPr>
              <w:t>Contaminante marino</w:t>
            </w:r>
            <w:r w:rsidRPr="0069446B">
              <w:rPr>
                <w:noProof w:val="0"/>
              </w:rPr>
              <w:t xml:space="preserve">: </w:t>
            </w:r>
            <w:r w:rsidRPr="0069446B" w:rsidR="00FA7F7F">
              <w:rPr>
                <w:noProof/>
              </w:rPr>
              <w:t>Sí</w:t>
            </w:r>
          </w:p>
          <w:p w:rsidR="00C93EB0" w:rsidRPr="0069446B" w:rsidP="00C93EB0" w14:paraId="3E1963A9" w14:textId="2D18F11C">
            <w:pPr>
              <w:pStyle w:val="SDSTableTextCentered"/>
              <w:rPr>
                <w:noProof w:val="0"/>
              </w:rPr>
            </w:pPr>
            <w:r w:rsidRPr="0069446B" w:rsidR="00FA7F7F">
              <w:rPr>
                <w:noProof/>
              </w:rPr>
              <w:t>N.° FS (Fuego)</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N.° FS (Derrame)</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Código de clasificación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Disposiciones especiales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Cantidades limitadas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Cantidades exceptuadas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Instrucciones de embalaje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Disposiciones especiales de embalaje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Disposiciones para el embalaje en común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Instrucciones de transporte en cisternas portátiles y contenedores para granel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Disposiciones especiales relativas a las cisternas portátiles y los contenedores para graneles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Código cisterna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Vehículo para el transporte en cisternas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Categoría de transporte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Disposiciones especiales de transporte - Bultos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Disposiciones especiales de transporte - Granel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Disposiciones especiales de transporte - Carga, descarga y manipulado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Número de identificación de peligro (código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Panel naranja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5" name="" descr="Panel naran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Pr>
                <w:noProof/>
                <w:lang w:val="fr-BE"/>
              </w:rPr>
              <w:t>Código de restricciones en túneles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Disposiciones especiales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Cantidades limitadas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Cantidades exceptuadas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Instrucciones de embalaje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Disposiciones especiales de embalaje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Instrucciones de embalaje GRG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Disposiciones especiales GRG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Instrucciones para cisternas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Pr>
                <w:noProof/>
              </w:rPr>
              <w:t>Disposiciones especiales para las cisternas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Categoría de carga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Estiba y Manipulación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Cantidades exceptuadas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Cantidades limitadas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Cantidad neta máxima para cantidad limitada en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Instrucciones de embalaje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Cantidad neta máxima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Instrucciones de embalaje exclusivamente para aviones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Pr>
                <w:noProof/>
              </w:rPr>
              <w:t>Cantidad máx. neta exclusivamente para aviones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Disposiciones especiales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Código GRE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Código de clasificación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Disposiciones especiales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Cantidades limitadas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Cantidades exceptuadas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Transporte admitido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Equipo requerido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Número de conos/luces azules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Disposiciones adicionales/Observaciones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Only in the molten state. ** For carriage in bulk see also 7.1.4.1. *** Only in the case of transport in bulk.</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Código de clasificación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Disposiciones especiales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Cantidades limitadas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Cantidades exceptuadas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Instrucciones de embalaje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Disposiciones especiales de embalaje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Disposiciones particulares relativas al embalaje común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Instrucciones de transporte en cisternas portátiles y contenedores para granel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Disposiciones especiales relativas a las cisternas portátiles y los contenedores para graneles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Códigos de cisterna para las cisternas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Categoría de transporte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Disposiciones especiales de transporte - Bultos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Disposiciones especiales relativas al transporte - Granel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Disposiciones especiales relativas al transporte - Carga, descarga y manipulación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Paquetes exprés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 de identificación del peligro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alpha-iso-methylionone ; benzyl acetate ; alpha-pinene ; d-limonene ; hexyl salicylate ; acetyl cedrene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3,7-dimethylnona-1,6-dien-3-ol ; linalyl acetate ; alpha-iso-methylionone ; linalool ; alpha-pinene ; d-limonene ; hexyl salicylate ; acetyl cedrene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Contiene una o varias sustancias incluidas en la lista de precursores de drogas (Reglamento CE 273/2004 relativa a la fabricación y puesta en el mercado de determinadas sustancias utilizadas para la fabricación ilícita de estupefacientes y sustancias psicotrópicas)</w:t>
            </w:r>
          </w:p>
        </w:tc>
      </w:tr>
    </w:tbl>
    <w:tbl>
      <w:tblPr>
        <w:tblStyle w:val="SDSTableWithBordersWithHeaderRow"/>
        <w:tblW w:w="10490" w:type="dxa"/>
        <w:tblLayout w:type="fixed"/>
        <w:tblLook w:val="04A0"/>
      </w:tblPr>
      <w:tblGrid>
        <w:gridCol w:w="2267"/>
        <w:gridCol w:w="1275"/>
        <w:gridCol w:w="1276"/>
        <w:gridCol w:w="1418"/>
        <w:gridCol w:w="1418"/>
        <w:gridCol w:w="1418"/>
        <w:gridCol w:w="1418"/>
      </w:tblGrid>
      <w:tr w14:paraId="0B83201E" w14:textId="77777777" w:rsidTr="005C557D">
        <w:tblPrEx>
          <w:tblW w:w="10490" w:type="dxa"/>
          <w:tblLayout w:type="fixed"/>
          <w:tblLook w:val="04A0"/>
        </w:tblPrEx>
        <w:trPr>
          <w:tblHeader/>
        </w:trPr>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D104D90" w14:textId="15A02BD9">
            <w:pPr>
              <w:pStyle w:val="SDSTableTextHeading1"/>
              <w:rPr>
                <w:noProof w:val="0"/>
                <w:color w:val="auto"/>
              </w:rPr>
            </w:pPr>
            <w:r w:rsidRPr="0069446B" w:rsidR="00FA7F7F">
              <w:rPr>
                <w:noProof/>
                <w:color w:val="auto"/>
              </w:rPr>
              <w:t>Nombre</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57C5252" w14:textId="5225E603">
            <w:pPr>
              <w:pStyle w:val="SDSTableTextHeading1"/>
              <w:rPr>
                <w:noProof w:val="0"/>
                <w:color w:val="auto"/>
              </w:rPr>
            </w:pPr>
            <w:r w:rsidRPr="0069446B" w:rsidR="00FA7F7F">
              <w:rPr>
                <w:noProof/>
                <w:color w:val="auto"/>
              </w:rPr>
              <w:t>Denominación NC</w:t>
            </w: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D6EF8CB" w14:textId="6606C847">
            <w:pPr>
              <w:pStyle w:val="SDSTableTextHeading1"/>
              <w:rPr>
                <w:noProof w:val="0"/>
                <w:color w:val="auto"/>
              </w:rPr>
            </w:pPr>
            <w:r w:rsidRPr="0069446B" w:rsidR="00FA7F7F">
              <w:rPr>
                <w:noProof/>
                <w:color w:val="auto"/>
              </w:rPr>
              <w:t>N° CAS</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54B57E4" w14:textId="78E35A93">
            <w:pPr>
              <w:pStyle w:val="SDSTableTextHeading1"/>
              <w:rPr>
                <w:noProof w:val="0"/>
                <w:color w:val="auto"/>
              </w:rPr>
            </w:pPr>
            <w:r w:rsidRPr="0069446B" w:rsidR="00FA7F7F">
              <w:rPr>
                <w:noProof/>
                <w:color w:val="auto"/>
              </w:rPr>
              <w:t>Código CN</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96366" w:rsidRPr="0069446B" w:rsidP="00E96366" w14:paraId="53D256F7" w14:textId="6CCA77A9">
            <w:pPr>
              <w:pStyle w:val="SDSTableTextHeading1"/>
              <w:rPr>
                <w:noProof w:val="0"/>
                <w:color w:val="auto"/>
              </w:rPr>
            </w:pPr>
            <w:r w:rsidRPr="0069446B" w:rsidR="00FA7F7F">
              <w:rPr>
                <w:noProof/>
                <w:color w:val="auto"/>
              </w:rPr>
              <w:t>Categoría,</w:t>
            </w:r>
          </w:p>
          <w:p w:rsidR="00A65092" w:rsidRPr="0069446B" w:rsidP="00E96366" w14:paraId="26779EFF" w14:textId="63E11907">
            <w:pPr>
              <w:pStyle w:val="SDSTableTextHeading1"/>
              <w:rPr>
                <w:noProof w:val="0"/>
                <w:color w:val="auto"/>
              </w:rPr>
            </w:pPr>
            <w:r w:rsidRPr="0069446B" w:rsidR="00FA7F7F">
              <w:rPr>
                <w:noProof/>
                <w:color w:val="auto"/>
              </w:rPr>
              <w:t>Subcategoría</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61B55F5" w14:textId="24B2F796">
            <w:pPr>
              <w:pStyle w:val="SDSTableTextHeading1"/>
              <w:rPr>
                <w:noProof w:val="0"/>
                <w:color w:val="auto"/>
              </w:rPr>
            </w:pPr>
            <w:r w:rsidRPr="0069446B" w:rsidR="00FA7F7F">
              <w:rPr>
                <w:noProof/>
                <w:color w:val="auto"/>
              </w:rPr>
              <w:t>Umbral</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BD701E" w14:textId="65E28E50">
            <w:pPr>
              <w:pStyle w:val="SDSTableTextHeading1"/>
              <w:rPr>
                <w:noProof w:val="0"/>
                <w:color w:val="auto"/>
              </w:rPr>
            </w:pPr>
            <w:r w:rsidRPr="0069446B" w:rsidR="00FA7F7F">
              <w:rPr>
                <w:noProof/>
                <w:color w:val="auto"/>
              </w:rPr>
              <w:t>Anexo</w:t>
            </w:r>
          </w:p>
        </w:tc>
      </w:tr>
      <w:tr w14:paraId="23D538E0" w14:textId="77777777" w:rsidTr="005C557D">
        <w:tblPrEx>
          <w:tblW w:w="10490" w:type="dxa"/>
          <w:tblLayout w:type="fixed"/>
          <w:tblLook w:val="04A0"/>
        </w:tblPrEx>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073E40F" w14:textId="559D260D">
            <w:pPr>
              <w:pStyle w:val="SDSTableTextNormal"/>
              <w:rPr>
                <w:noProof w:val="0"/>
              </w:rPr>
            </w:pPr>
            <w:r w:rsidRPr="0069446B" w:rsidR="00FA7F7F">
              <w:rPr>
                <w:noProof/>
              </w:rPr>
              <w:t>Piperonal</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900E007" w14:textId="26A7BDBB">
            <w:pPr>
              <w:pStyle w:val="SDSTableTextNormal"/>
              <w:rPr>
                <w:noProof w:val="0"/>
              </w:rPr>
            </w:pP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9F3871" w14:textId="44E22305">
            <w:pPr>
              <w:pStyle w:val="SDSTableTextNormal"/>
              <w:rPr>
                <w:noProof w:val="0"/>
              </w:rPr>
            </w:pPr>
            <w:r w:rsidRPr="0069446B" w:rsidR="00FA7F7F">
              <w:rPr>
                <w:noProof/>
              </w:rPr>
              <w:t>120-57-0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4454755" w14:textId="57B7AB29">
            <w:pPr>
              <w:pStyle w:val="SDSTableTextNormal"/>
              <w:rPr>
                <w:noProof w:val="0"/>
              </w:rPr>
            </w:pPr>
            <w:r w:rsidRPr="0069446B" w:rsidR="00FA7F7F">
              <w:rPr>
                <w:noProof/>
              </w:rPr>
              <w:t>2932 93 00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0CE3A27" w14:textId="126BB867">
            <w:pPr>
              <w:pStyle w:val="SDSTableTextNormal"/>
              <w:rPr>
                <w:noProof w:val="0"/>
              </w:rPr>
            </w:pPr>
            <w:r w:rsidRPr="0069446B" w:rsidR="00FA7F7F">
              <w:rPr>
                <w:noProof/>
              </w:rPr>
              <w:t>Categoría 1</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99E5CD" w14:textId="1DED112B">
            <w:pPr>
              <w:pStyle w:val="SDSTableTextNormal"/>
              <w:rPr>
                <w:noProof w:val="0"/>
              </w:rPr>
            </w:pP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511B839" w14:textId="55BB0BAA">
            <w:pPr>
              <w:pStyle w:val="SDSTableTextNormal"/>
              <w:rPr>
                <w:noProof w:val="0"/>
              </w:rPr>
            </w:pPr>
            <w:r w:rsidRPr="0069446B" w:rsidR="00FA7F7F">
              <w:rPr>
                <w:noProof/>
              </w:rPr>
              <w:t>Anexo I</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(oral),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para la reproducción, categoría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STOT RE No clasificado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específica en determinados órganos (exposiciones repetidas) No clasificado</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 sospecha que puede perjudicar la fertilidad o dañar el feto.</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 sospecha que puede dañar el feto.</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28/09/2026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18</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18</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28/09/2026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18</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224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224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(EU) 2020/878</w:t>
          </w:r>
        </w:p>
        <w:p w:rsidR="009C6C12" w:rsidRPr="008F5B08" w:rsidP="00FD6B1D" w14:paraId="512A27C2" w14:textId="1FF61BD5">
          <w:pPr>
            <w:pStyle w:val="SDSTableTextHeader"/>
          </w:pPr>
          <w:r>
            <w:rPr>
              <w:noProof/>
            </w:rPr>
            <w:t>Fecha de emisión: 28/09/2026   Versión: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F9584747-9A5D-4D42-A876-E99F56DFCD05}"/>
</file>

<file path=customXml/itemProps3.xml><?xml version="1.0" encoding="utf-8"?>
<ds:datastoreItem xmlns:ds="http://schemas.openxmlformats.org/officeDocument/2006/customXml" ds:itemID="{F87C7E55-5BBE-4EE5-8C0F-46B508479EFD}"/>
</file>

<file path=customXml/itemProps4.xml><?xml version="1.0" encoding="utf-8"?>
<ds:datastoreItem xmlns:ds="http://schemas.openxmlformats.org/officeDocument/2006/customXml" ds:itemID="{99E130B1-D7FD-43C0-A806-9DB07681F449}"/>
</file>

<file path=docProps/app.xml><?xml version="1.0" encoding="utf-8"?>
<Properties xmlns="http://schemas.openxmlformats.org/officeDocument/2006/extended-properties" xmlns:vt="http://schemas.openxmlformats.org/officeDocument/2006/docPropsVTypes">
  <Template>Normal</Template>
  <TotalTime>219</TotalTime>
  <Pages>18</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