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210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pentadecan-15-olide, coumarin.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5,0358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EE8DAF" w14:textId="7F7C89E0">
            <w:pPr>
              <w:pStyle w:val="SDSTableTextNormal"/>
              <w:rPr>
                <w:noProof w:val="0"/>
                <w:lang w:val="fr-BE"/>
              </w:rPr>
            </w:pP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63500-71-0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405-040-6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603-101-00-3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pentadecan-15-olide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106-02-5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203-354-6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Vainilla. Afrutado. Gourmand. Oriental. balsámico.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EU Method B.1 (Acute Toxicity (Oral)), Guideline: OECD Guideline 401 (Acute Oral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EU Method B.1 tris (Acute Oral Toxicity - Acute Toxic Class Method),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EU Method B.3 (Acute Toxicity (Dermal)),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125 mg/kg de peso corporal Animal: rat, Guideline: OECD Guideline 407 (Repeated Dose 28-Day Oral Toxicity Study in Rodents)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411 (Subchronic Dermal Toxicity: 90-Day Study), Guideline: EU Method B.28 (Sub-Chronic Dermal Toxicity Test: 90-Day Repeated Dermal Dose Study Using Rodent Species)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≥ 1000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de peso corporal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210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320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0,797 mg/l Test organisms (species): Oncorhynchus mykiss (previous name: Salmo gairdneri)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0,17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0,4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0,47 mg/l Test organisms (species): Desmodesmus subspicatus (previous name: Scenedesmus subspicatus)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0,127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0,027 mg/l Test organisms (species): Pimephales promelas Duration: '33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210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benzoate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benzoate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pentadecan-15-olide, coumarin.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28/07/2026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28/07/2026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210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210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28/07/2026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FA9596-763C-40FD-8E3D-BB0994D5E81F}"/>
</file>

<file path=customXml/itemProps3.xml><?xml version="1.0" encoding="utf-8"?>
<ds:datastoreItem xmlns:ds="http://schemas.openxmlformats.org/officeDocument/2006/customXml" ds:itemID="{E1908767-2FCC-435C-986B-F6CC38A20978}"/>
</file>

<file path=customXml/itemProps4.xml><?xml version="1.0" encoding="utf-8"?>
<ds:datastoreItem xmlns:ds="http://schemas.openxmlformats.org/officeDocument/2006/customXml" ds:itemID="{C3D10DAE-2CFD-48B3-82BC-A412AD3870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