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102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HEXYL CINNAMAL, METHYL IONONES, TETRAMETHYL ACETYLOCTAHYDRONAPHTHALENES, linalool.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0,6363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Ámbar.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102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102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p w:rsidR="00A65092" w:rsidRPr="0069446B" w:rsidP="00A65092" w14:paraId="1965DBDA" w14:textId="0FFE3A91">
      <w:pPr>
        <w:pStyle w:val="SDSTextNormal"/>
      </w:pPr>
      <w:r>
        <w:rPr>
          <w:noProof/>
        </w:rPr>
        <w:t>No contiene ninguna sustancia incluida en  el Anexo XVII de REACH (Condiciones de restricción)</w:t>
      </w:r>
    </w:p>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HEXYL CINNAMAL, METHYL IONONES, TETRAMETHYL ACETYLOCTAHYDRONAPHTHALENES, linalool.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102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102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02/10/2026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C112F6B-487D-45E5-9221-4D3A38656FC5}"/>
</file>

<file path=customXml/itemProps3.xml><?xml version="1.0" encoding="utf-8"?>
<ds:datastoreItem xmlns:ds="http://schemas.openxmlformats.org/officeDocument/2006/customXml" ds:itemID="{38858920-6CF1-4252-8144-85F2BD5A50EC}"/>
</file>

<file path=customXml/itemProps4.xml><?xml version="1.0" encoding="utf-8"?>
<ds:datastoreItem xmlns:ds="http://schemas.openxmlformats.org/officeDocument/2006/customXml" ds:itemID="{1BF9DAAE-2373-4B56-8650-14E9634A22DD}"/>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