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lin et coton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1SP1-V048-H00F-Y568</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- 2353962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Puede provocar una reacción alérgica en la piel. 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H317 - Puede provocar una alergia cutánea.</w:t>
              <w:b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P333+P313 - En caso de irritación o erupción cutánea: consultar a un médico.</w:t>
              <w:br/>
              <w:t>P337+P313 - Si la irritación ocular persiste: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1-[(2-tert-butylcyclohexyl)oxy]butan-2-ol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139504-68-0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 Evitar respirar el polvo/el humo/el gas/la niebla/los vapores/el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Aquatisch.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1-[(2-tert-butylcyclohexyl)oxy]butan-2-ol (139504-68-0)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other:,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(cyclohexyloxy)acetate (68901-15-5)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620,42 mg/kg de peso corporal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de peso corporal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2-methylpropan-2-ol (75-65-0)</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1-[(2-tert-butylcyclohexyl)oxy]butan-2-ol (139504-68-0)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 1000 mg/kg de peso corporal Animal: rat, Guideline: OECD Guideline 407 (Repeated Dose 28-Day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140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de peso corporal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peso corporal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1-[(2-tert-butylcyclohexyl)oxy]butan-2-ol (139504-68-0)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5,6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1,4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0,22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(cyclohexyloxy)acetate (68901-15-5)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0,205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6,09 – 6,09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69,2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36,6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9,3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3,2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lin et coton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1-[(2-tert-butylcyclohexyl)oxy]butan-2-ol (139504-68-0)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b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 ; 3,7-dimethyloctan-3-ol ; 2,6-dimethyloct-7-en-2-ol ; tétrahydro-2-isobutyl-4-méthylpyran-4-ol, mélange d'isomères (cis et trans)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Recarga para difusor - lin et coton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Recarga para difusor - lin et coton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CF614FC-54FB-493B-AE09-5430029CBC80}"/>
</file>

<file path=customXml/itemProps3.xml><?xml version="1.0" encoding="utf-8"?>
<ds:datastoreItem xmlns:ds="http://schemas.openxmlformats.org/officeDocument/2006/customXml" ds:itemID="{9E2D73EA-BB30-4F67-AABF-56A12E3182FF}"/>
</file>

<file path=customXml/itemProps4.xml><?xml version="1.0" encoding="utf-8"?>
<ds:datastoreItem xmlns:ds="http://schemas.openxmlformats.org/officeDocument/2006/customXml" ds:itemID="{5AEA8754-A6BB-4AA9-AFA5-A69A83F52AF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