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Fragancia de coche - New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R0U0-X0SD-Y001-KND4</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Código de producto</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Fragancia para coche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Líquidos inflamables, categoría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H226</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Corrosivo/irritante para la piel, categoría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Lesiones oculares graves/irritación ocular, categoría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Sensibilización cutánea, categoría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A"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Peligroso para el medio acuático – Peligro crónico, categoría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Líquidos y vapores inflamables. Provoca irritación cutánea. Puede provocar una reacción alérgica en la piel. Provoca irritación ocular grave. Tóxico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Pictogramas de peligro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r w:rsidRPr="0069446B" w:rsidR="00FA7F7F">
              <w:drawing>
                <wp:inline>
                  <wp:extent cx="635000" cy="635000"/>
                  <wp:docPr id="100005"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GHS02</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Palabra de advertencia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Atención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4-tert-butylcyclohexyl acetate; linalyl acetate; piperonal; citral; Eugenol; benzyl salicylate; α-hexylcinnamaldehyde; coumarin; d-limonene; (E)-anethole; linalool; isoeugenol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H226 - Líquido y vapores inflamables.</w:t>
              <w:br/>
              <w:t>H315 - Provoca irritación cutánea.</w:t>
              <w:br/>
              <w:t>H317 - Puede provocar una alergia cutánea.</w:t>
              <w:br/>
              <w:t>H319 - Provoca una irritación ocular grave.</w:t>
              <w:br/>
              <w:t>H411 - Tóxico para los organismos acuáticos, con efectos duraderos.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P210 - Mantener alejado del calor, de superficies calientes, de chispas, de llamas abiertas y de cualquier otra fuente de ignición. No fumar.</w:t>
              <w:br/>
              <w:t>P280 - Llevar guantes de protección, equipo de protección para los ojos y la cara.</w:t>
              <w:br/>
              <w:t>P305+P351+P338 - EN CASO DE CONTACTO CON LOS OJOS: Enjuagar con cuidado con agua durante varios minutos. Quitar las lentes de contacto si la víctima las lleva y si se pueden quitar fácilmente. Seguir enjuagando.</w:t>
              <w:br/>
              <w:t>P333+P313 - En caso de irritación o erupción cutánea: consultar a un médico.</w:t>
              <w:br/>
              <w:t>P337+P313 - Si la irritación ocular persiste: consultar a un médico.</w:t>
              <w:br/>
              <w:t>P501 - Eliminar el contenido y el recipiente en un centro de clasificación, de acuerdo con la normativa local.</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 sustancia a la que se aplica un límite comunitario de exposición en el lugar de trabajo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 clasificado</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141-78-6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205-500-4</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607-022-00-5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2, H225</w:t>
              <w:br/>
              <w:t>Eye Irrit. 2, H319</w:t>
              <w:br/>
              <w:t>STOT SE 3, H336</w:t>
              <w:br/>
              <w:t>EUH066</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4-(2,6,6-trimethylcyclohex-2-ene-1-yl)-but-3-ene-2-one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127-41-3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4-(2,6,6-trimethylcyclohex-1-ene-1-yl)-but-3-ene-2-one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14901-07-6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238-969-9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Skin Sens. 1B, H317</w:t>
              <w:br/>
              <w:t>Aquatic Chronic 3, H412</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121-32-4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204-464-7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undecanal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112-44-7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203-972-6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Acute 1, H400</w:t>
              <w:br/>
              <w:t>Aquatic Chronic 1, H410</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93-58-3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202-259-7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Repr. 2, H361</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Acute Tox. 4 (Cutánea), H312 (ATE=1100 mg/kg de peso corporal)</w:t>
              <w:br/>
              <w:t>Acute Tox. 4 (Inhalación),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Límites de concentración específicos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Identificador de producto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Límites de concentración específicos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Aclararse la piel con agua/ducharse. Quitar inmediatamente todas las prendas contaminadas. En caso de irritación o erupción cutánea: Consultar a un médico.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Aclarar cuidadosamente con agua durante varios minutos. Quitar las lentes de contacto, si lleva y resulta fácil. Seguir aclarando. Si persiste la irritación ocular: Consultar a un médico.</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Ninguno en condiciones normales.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Irritación. Puede provocar una reacción alérgica en la piel.</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Irritación de los ojos.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Agua pulverizada. Polvo seco. Espuma. Dióxido de carbono.</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Líquidos y vapores inflamables.</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Detener la fuga, si no hay peligro en hacerlo. 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 la zona de derrame. No exponer a llamas descubiertas o chispas y abstenerse de fumar. Evitar el contacto con los ojos y la piel. Evitar respirar el polvo/el humo/el gas/la niebla/los vapores/el aerosol.</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Evacuar el personal no necesario. Detener la fuga, si no hay peligro en hacerlo.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Recoger el vertido. Confinar todo tipo de fugas o derrames mediante diques o productos absorbentes para evitar el desplazamiento y la entrada en el alcantarillado o cursos de agua. Detener la fuga, a ser posible sin exponerse a riesgos.</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Pr>
                <w:noProof/>
                <w:lang w:val="fr-BE"/>
              </w:rPr>
              <w:t>Absorber el líquido derramado mediante un producto absorbente. Avisar a las autoridades si el producto llega a los desagües o las conducciones públicas de agua.</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Mantener alejado del calor, de superficies calientes, de chispas, de llamas abiertas y de cualquier otra fuente de ignición. No fumar. Conectar a tierra/enlace equipotencial del recipiente y del equipo de recepción. Utilizar únicamente herramientas que no produzcan chispas. Tomar medidas de precaución contra descargas electrostáticas. Pueden acumularse vapores inflamables en el envase. Utilizar un aparato antideflagrante. Llevar un equipo de protección individual. Evitar el contacto con los ojos y la piel. Evitar respirar el polvo/el humo/el gas/la niebla/los vapores/el aerosol.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Lavar las prendas contaminadas antes de volver a usarlas. Las prendas de trabajo contaminadas no podrán sacarse del lugar de trabajo. 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Conectar a tierra/enlace equipotencial del recipiente y del equipo de recepción.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Almacenar en un lugar bien ventilado. Mantener en lugar fresco. Mantener el recipiente herméticamente cerrado.</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 límite de exposición profesional indicativo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Éter metílico de dipropilenglicol</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 VLI (Agente químico para el que la U.E. estableció en su día un valor límite indicativo).</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Equipos de protección personal</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Equipo de protección individual</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Llevar el equipo de protección individual recomendado.</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Símbolo/s del equipo de protección personal</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7" name="" descr="Guantes de prote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Gafas de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11" name="" descr="Llevar ropa de protección adecu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Protección de los ojos y la cara</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Protección ocular</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Gafas de seguridad</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Protección de la piel</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Protección de la piel y del cuerpo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Llevar ropa de protección adecuada</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Protección de las manos</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Guantes de protección</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Protección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Protección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En caso de ventilación insuficiente, utilizar un aparato respiratorio adecuado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Líquido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Amarillo. Verde.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Ámbar. Floral.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 aplicable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Líquidos y vapores inflamables.</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56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0,962</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Características de las partículas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 aplicable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sidRPr="0069446B">
        <w:rPr>
          <w:noProof/>
        </w:rPr>
        <w:t>Líquidos y vapores inflamables.</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Evitar el contacto con superficies calientes. Calor. Sin llamas ni chispas. Eliminar cualquier fuente de ignición.</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4-tert-butylcyclohexyl acetate (32210-23-4)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300 – 2000 mg/kg de peso corporal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undecanal (112-44-7)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peso corporal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peso corporal Animal: rabbit,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peso corporal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de peso corporal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de peso corporal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vanillin (121-32-4)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3160 mg/kg de peso corporal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acetate (141-78-6)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4934 mg/kg de peso corporal Animal: rabbit, Guideline: OECD Guideline 401 (Acute Oral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20000 mg/kg de peso corporal Animal: rabbit, Animal sex: male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4-(2,6,6-trimethylcyclohex-2-ene-1-yl)-but-3-ene-2-one (127-41-3)</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de peso corporal Animal: rat</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peso corporal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de peso corporal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de peso corporal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de peso corporal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4-(2,6,6-trimethylcyclohex-1-ene-1-yl)-but-3-ene-2-one (14901-07-6)</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4590 mg/kg de peso corporal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peso corporal Animal: rat, Guideline: other:</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peso corporal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B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B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de peso corporal Animal: rat, Guideline: OECD Guideline 401 (Acute Oral Toxicity), 95% CL: 2755 - 3600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B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de peso corporal Animal: rat, 95% CL: 2090 -</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de peso corporal Animal: rabbit, Guideline: EU Method B.3 (Acute Toxicity (Dermal))</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 5,1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9"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peso corporal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peso corporal Animal: mouse, Guideline: OECD Guideline 401 (Acute Oral Toxicity), 95% CL: 2620 - 3620</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peso corporal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methyl benzoate (93-58-3)</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peso corporal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Provoca irritación cutánea.</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4-(2,6,6-trimethylcyclohex-2-ene-1-yl)-but-3-ene-2-one (127-41-3)</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4,55 Temp.: 29 °C Concentration: 1 other</w:t>
            </w:r>
            <w:r w:rsidRPr="0069446B">
              <w:rPr>
                <w:rFonts w:hint="eastAsia"/>
                <w:noProof/>
                <w:lang w:eastAsia="ja-JP"/>
              </w:rPr>
              <w:t>:</w:t>
            </w:r>
          </w:p>
        </w:tc>
      </w:tr>
    </w:tbl>
    <w:p w:rsidR="00A7593A" w:rsidRPr="0069446B" w:rsidP="009215A8" w14:textId="78B4B17E">
      <w:pPr>
        <w:pStyle w:val="SDSTextBlankLine"/>
      </w:pPr>
    </w:p>
    <w:tbl>
      <w:tblPr>
        <w:tblStyle w:val="SDSTableWithBordersWithHeaderRow"/>
        <w:tblW w:w="10489" w:type="dxa"/>
        <w:tblLayout w:type="fixed"/>
        <w:tblLook w:val="0020"/>
      </w:tblPr>
      <w:tblGrid>
        <w:gridCol w:w="3969"/>
        <w:gridCol w:w="6520"/>
      </w:tblGrid>
      <w:tr w14:paraId="6428FA58"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12EF6DE">
            <w:pPr>
              <w:pStyle w:val="SDSTableTextHeading1"/>
              <w:rPr>
                <w:noProof w:val="0"/>
                <w:color w:val="auto"/>
              </w:rPr>
            </w:pPr>
            <w:r w:rsidRPr="0069446B" w:rsidR="00FA7F7F">
              <w:rPr>
                <w:noProof/>
                <w:color w:val="auto"/>
              </w:rPr>
              <w:t>4-(2,6,6-trimethylcyclohex-1-ene-1-yl)-but-3-ene-2-one (14901-07-6)</w:t>
            </w:r>
          </w:p>
        </w:tc>
      </w:tr>
      <w:tr w14:paraId="6CC585F6"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4EE742AD">
            <w:pPr>
              <w:pStyle w:val="SDSTableTextNormal"/>
              <w:rPr>
                <w:noProof w:val="0"/>
              </w:rPr>
            </w:pPr>
            <w:r w:rsidRPr="0069446B" w:rsidR="00FA7F7F">
              <w:rPr>
                <w:noProof/>
                <w:lang w:eastAsia="ja-JP"/>
              </w:rPr>
              <w:t>5,67 Temp.: 24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Provoca una irritación ocular grave.</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4-(2,6,6-trimethylcyclohex-2-ene-1-yl)-but-3-ene-2-one (127-41-3)</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4,55 Temp.: 29 °C Concentration: 1 other</w:t>
            </w:r>
            <w:r w:rsidRPr="0069446B">
              <w:rPr>
                <w:rFonts w:hint="eastAsia"/>
                <w:noProof/>
                <w:lang w:eastAsia="ja-JP"/>
              </w:rPr>
              <w:t>:</w:t>
            </w:r>
          </w:p>
        </w:tc>
      </w:tr>
    </w:tbl>
    <w:p w:rsidR="00A7593A" w:rsidRPr="0069446B" w:rsidP="009215A8" w14:textId="6455FAA7">
      <w:pPr>
        <w:pStyle w:val="SDSTextBlankLine"/>
      </w:pPr>
    </w:p>
    <w:tbl>
      <w:tblPr>
        <w:tblStyle w:val="SDSTableWithBordersWithHeaderRow"/>
        <w:tblW w:w="10489" w:type="dxa"/>
        <w:tblLayout w:type="fixed"/>
        <w:tblLook w:val="0020"/>
      </w:tblPr>
      <w:tblGrid>
        <w:gridCol w:w="3969"/>
        <w:gridCol w:w="6520"/>
      </w:tblGrid>
      <w:tr w14:paraId="4FDDC6C5"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5263CC9">
            <w:pPr>
              <w:pStyle w:val="SDSTableTextHeading1"/>
              <w:rPr>
                <w:noProof w:val="0"/>
                <w:color w:val="auto"/>
              </w:rPr>
            </w:pPr>
            <w:r w:rsidRPr="0069446B" w:rsidR="00FA7F7F">
              <w:rPr>
                <w:noProof/>
                <w:color w:val="auto"/>
              </w:rPr>
              <w:t>4-(2,6,6-trimethylcyclohex-1-ene-1-yl)-but-3-ene-2-one (14901-07-6)</w:t>
            </w:r>
          </w:p>
        </w:tc>
      </w:tr>
      <w:tr w14:paraId="58CDE2D2"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52E8F024">
            <w:pPr>
              <w:pStyle w:val="SDSTableTextNormal"/>
              <w:rPr>
                <w:noProof w:val="0"/>
              </w:rPr>
            </w:pPr>
            <w:r w:rsidRPr="0069446B" w:rsidR="00FA7F7F">
              <w:rPr>
                <w:noProof/>
                <w:lang w:eastAsia="ja-JP"/>
              </w:rPr>
              <w:t>5,67 Temp.: 24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Puede provocar una alergia cutánea.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 vanillin (121-32-4)</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500 mg/kg de peso corporal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4-(2,6,6-trimethylcyclohex-2-ene-1-yl)-but-3-ene-2-one (127-41-3)</w:t>
            </w:r>
          </w:p>
        </w:tc>
      </w:tr>
      <w:tr w14:paraId="56EA4DCA"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ED44610" w14:textId="0BC3C610">
            <w:pPr>
              <w:pStyle w:val="SDSTableTextNormal"/>
              <w:rPr>
                <w:noProof w:val="0"/>
              </w:rPr>
            </w:pPr>
            <w:r w:rsidRPr="0069446B" w:rsidR="00FA7F7F">
              <w:rPr>
                <w:noProof/>
              </w:rPr>
              <w:t>LOAEL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909D2B" w14:textId="6A522230">
            <w:pPr>
              <w:pStyle w:val="SDSTableTextNormal"/>
              <w:rPr>
                <w:noProof w:val="0"/>
              </w:rPr>
            </w:pPr>
            <w:r w:rsidRPr="0069446B">
              <w:rPr>
                <w:noProof/>
              </w:rPr>
              <w:t>1000 mg/kg de peso corporal Animal: rat, Animal sex: female, Guideline: other:</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(animal/macho,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11,8 mg/kg de peso corporal Animal: rat, Animal sex: 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(animal/hembra,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&gt; 10 mg/kg de peso corporal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peso corporal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de peso corporal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ethyl acetate (141-78-6)</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Toxicidad específica en determinados órganos (STOT) – exposición única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Puede provocar somnolencia o vértigo.</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2,6-dimethyloct-7-en-2-ol (18479-58-8)</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Pr>
                <w:noProof/>
              </w:rPr>
              <w:t>Toxicidad específica en determinados órganos (STOT) – exposición única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Puede provocar somnolencia o vértigo.</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D"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1"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Pr>
                <w:noProof/>
              </w:rPr>
              <w:t>Toxicidad específica en determinados órganos (STOT) – exposición única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Puede irritar las vías respiratorias.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de peso corporal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(inhalación, rata, polvo/niebla/humo,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undecanal (112-44-7)</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100 mg/kg de peso corporal Animal: rat, Guideline: OECD Guideline 422 (Combined Repeated Dose Toxicity Study with the Reproduction / Developmental Toxicity Screening Test), Guideline: other:</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peso corporal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de peso corporal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acetate (141-78-6)</w:t>
            </w:r>
          </w:p>
        </w:tc>
      </w:tr>
      <w:tr w14:paraId="17BB36C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362312DE">
            <w:pPr>
              <w:pStyle w:val="SDSTableTextNormal"/>
              <w:rPr>
                <w:noProof w:val="0"/>
              </w:rPr>
            </w:pPr>
            <w:r w:rsidRPr="0069446B" w:rsidR="00FA7F7F">
              <w:rPr>
                <w:noProof/>
              </w:rPr>
              <w:t>LOAEL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442B51B">
            <w:pPr>
              <w:pStyle w:val="SDSTableTextNormal"/>
              <w:rPr>
                <w:noProof w:val="0"/>
                <w:lang w:val="fr-BE"/>
              </w:rPr>
            </w:pPr>
            <w:r w:rsidRPr="0069446B">
              <w:rPr>
                <w:noProof/>
                <w:lang w:val="fr-BE"/>
              </w:rPr>
              <w:t>3600 mg/kg de peso corporal Animal: rat, Guideline: EPA OTS 795.2600 (Subchronic Oral Toxicity Test)</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900 mg/kg de peso corporal Animal: rat, Guideline: EPA OTS 795.2600 (Subchronic Oral Toxicity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peso corporal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peso corporal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de peso corporal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(subcrónico, oral, animal/hembra,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de peso corporal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(subcrónico, oral, animal/hembra,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de peso corporal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(E)-anethole (4180-23-8)</w:t>
            </w:r>
          </w:p>
        </w:tc>
      </w:tr>
      <w:tr w14:paraId="07CBBCD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300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4"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4-(2,6,6-trimethylcyclohex-1-ene-1-yl)-but-3-ene-2-one (14901-07-6)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19,799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Tóxico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Tóxico para los organismos acuáticos, con efectos duraderos.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undecanal (112-44-7)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1,97 mg/l Test organisms (species): other:</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1459 μg/l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vanillin (121-32-4)</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87,6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26,2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acetate (141-78-6)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230 mg/l Test organisms (species): Pimephales promelas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2,4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4-(2,6,6-trimethylcyclohex-2-ene-1-yl)-but-3-ene-2-one (127-41-3)</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 mg/l Test organisms (species): Leuciscus idus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1,376 mg/l Test organisms (species): other:</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50,26 mg/l Test organisms (species): Chlorella vulgaris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0,17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0,173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Otros organismos acuáticos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4-(2,6,6-trimethylcyclohex-1-ene-1-yl)-but-3-ene-2-one (14901-07-6)</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2,571895 mg/l Test organisms (species): Oryzias latipes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1,641385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3,22259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1,53 mg/l Test organisms (species): Daphnia magna Duration: '21 d'</w:t>
            </w:r>
          </w:p>
        </w:tc>
      </w:tr>
      <w:tr w14:paraId="4F2507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 2,44 mg/l Test organisms (species): Daphnia magna Duration: '21 d'</w:t>
            </w:r>
          </w:p>
        </w:tc>
      </w:tr>
      <w:tr w14:paraId="4F2507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1,05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7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6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methyl benzoate (93-58-3)</w:t>
            </w:r>
          </w:p>
        </w:tc>
      </w:tr>
      <w:tr w14:paraId="562CCB7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Danio rerio (previous name: Brachydanio rerio)</w:t>
            </w:r>
          </w:p>
        </w:tc>
      </w:tr>
      <w:tr w14:paraId="66FAA3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Fragancia de coche - New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undecanal (112-44-7)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vanillin (121-32-4)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acetate (141-78-6)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4-(2,6,6-trimethylcyclohex-2-ene-1-yl)-but-3-ene-2-one (127-41-3)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4-(2,6,6-trimethylcyclohex-1-ene-1-yl)-but-3-ene-2-one (14901-07-6)</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alpha-cedreno (469-61-4)</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benzoate (93-58-3)</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Pr>
                <w:noProof/>
              </w:rPr>
              <w:t>Pueden acumularse vapores inflamables en el envase. 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 xml:space="preserve">HP3 - “Inflamable”: </w:t>
              <w:br/>
              <w:t xml:space="preserve">– residuos líquidos inflamables: residuos líquidos con un punto de inflamación inferior a 60 °C, o gasóleos, carburantes diésel y aceites ligeros para calefacción usados con un punto de inflamación entre &gt; 55 °C y ≤ 75 °C; </w:t>
              <w:br/>
              <w:t xml:space="preserve">– residuos líquidos o sólidos pirofóricos inflamables: residuos líquidos o sólidos que, aun en pequeñas cantidades, pueden inflamarse al cabo de cinco minutos de entrar en contacto con el aire; </w:t>
              <w:br/>
              <w:t xml:space="preserve">– residuos sólidos inflamables: residuos sólidos que se inflaman con facilidad o que pueden provocar fuego o contribuir a provocar fuego por fricción; </w:t>
              <w:br/>
              <w:t xml:space="preserve">– residuos gaseosos inflamables: residuos gaseosos que se inflaman con el aire a 20 °C y a una presión de referencia de 101,3 kPa; </w:t>
              <w:br/>
              <w:t xml:space="preserve">– residuos que reaccionan en contacto con el agua: residuos que, en contacto con el agua, desprenden gases inflamables en cantidades peligrosas; </w:t>
              <w:br/>
              <w:t>– otros residuos inflamables: aerosoles inflamables, residuos que experimentan calentamiento espontáneo inflamables, residuos de peróxidos orgánicos inflamables y residuos autorreactivos inflamables.</w:t>
              <w:br/>
              <w:t>HP4 - “Irritante – irritación cutánea y lesiones oculares”: corresponde a los residuos que, cuando se aplican, pueden provocar irritaciones cutáneas o lesiones oculares.</w:t>
              <w:b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1266</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sidR="00FA7F7F">
              <w:rPr>
                <w:noProof/>
              </w:rPr>
              <w:t>PERFUMERY PRODUCTS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sidR="00FA7F7F">
              <w:rPr>
                <w:noProof/>
              </w:rPr>
              <w:t>PERFUMERY PRODUCTS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sidR="00FA7F7F">
              <w:rPr>
                <w:noProof/>
              </w:rPr>
              <w:t>Perfumery products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sidR="00FA7F7F">
              <w:rPr>
                <w:noProof/>
              </w:rPr>
              <w:t>PERFUMERY PRODUCTS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sidR="00FA7F7F">
              <w:rPr>
                <w:noProof/>
              </w:rPr>
              <w:t>PERFUMERY PRODUCTS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Descripción del documento del transporte</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1266 PERFUMERY PRODUCTS, 3, III, (D/E), PELIGROSO PARA EL MEDIOAMBIENTE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1266 PERFUMERY PRODUCTS, 3, III, CONTAMINANTE MARINO/PELIGROSO PARA EL MEDIOAMBIENTE (56°C c.c.)</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1266 Perfumery products, 3, III, ENVIRONMENTALLY HAZARDOUS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1266 PERFUMERY PRODUCTS, 3, III, PELIGROSO PARA EL MEDIOAMBIENTE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1266 PERFUMERY PRODUCTS, 3, III, PELIGROSO PARA EL MEDIOAMBIENTE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3</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3"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ca de sustancia peligrosa para el medio 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7"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ca de sustancia peligrosa para el medio 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21"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3" name="" descr="Marca de sustancia peligrosa para el medio 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5"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7" name="" descr="Marca de sustancia peligrosa para el medio 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9"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31" name="" descr="Marca de sustancia peligrosa para el medio 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p w:rsidR="00E5555B" w:rsidRPr="0069446B" w:rsidP="00CB352E" w14:paraId="59B4C75B" w14:textId="3A38D38E">
            <w:pPr>
              <w:pStyle w:val="SDSTableTextCentered"/>
              <w:rPr>
                <w:noProof w:val="0"/>
              </w:rPr>
            </w:pPr>
            <w:r w:rsidRPr="0069446B" w:rsidR="00FA7F7F">
              <w:rPr>
                <w:noProof/>
              </w:rPr>
              <w:t>Contaminante marino</w:t>
            </w:r>
            <w:r w:rsidRPr="0069446B">
              <w:rPr>
                <w:noProof w:val="0"/>
              </w:rPr>
              <w:t xml:space="preserve">: </w:t>
            </w:r>
            <w:r w:rsidRPr="0069446B" w:rsidR="00FA7F7F">
              <w:rPr>
                <w:noProof/>
              </w:rPr>
              <w:t>Sí</w:t>
            </w:r>
          </w:p>
          <w:p w:rsidR="00C93EB0" w:rsidRPr="0069446B" w:rsidP="00C93EB0" w14:paraId="3E1963A9" w14:textId="2D18F11C">
            <w:pPr>
              <w:pStyle w:val="SDSTableTextCentered"/>
              <w:rPr>
                <w:noProof w:val="0"/>
              </w:rPr>
            </w:pPr>
            <w:r w:rsidRPr="0069446B" w:rsidR="00FA7F7F">
              <w:rPr>
                <w:noProof/>
              </w:rPr>
              <w:t>N.° FS (Fuego)</w:t>
            </w:r>
            <w:r w:rsidRPr="0069446B">
              <w:rPr>
                <w:noProof w:val="0"/>
              </w:rPr>
              <w:t xml:space="preserve">: </w:t>
            </w:r>
            <w:r w:rsidRPr="0069446B" w:rsidR="00FA7F7F">
              <w:rPr>
                <w:noProof/>
              </w:rPr>
              <w:t>F-E</w:t>
            </w:r>
          </w:p>
          <w:p w:rsidR="00C93EB0" w:rsidRPr="0069446B" w:rsidP="00C93EB0" w14:paraId="6F11279A" w14:textId="60684061">
            <w:pPr>
              <w:pStyle w:val="SDSTableTextCentered"/>
              <w:rPr>
                <w:noProof w:val="0"/>
              </w:rPr>
            </w:pPr>
            <w:r w:rsidRPr="0069446B" w:rsidR="00FA7F7F">
              <w:rPr>
                <w:noProof/>
              </w:rPr>
              <w:t>N.° FS (Derrame)</w:t>
            </w:r>
            <w:r w:rsidRPr="0069446B">
              <w:rPr>
                <w:noProof w:val="0"/>
              </w:rPr>
              <w:t xml:space="preserve">: </w:t>
            </w:r>
            <w:r w:rsidRPr="0069446B" w:rsidR="00FA7F7F">
              <w:rPr>
                <w:noProof/>
              </w:rPr>
              <w:t>S-D</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Código de clasificación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F1</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Disposiciones especiales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163</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Cantidades limitadas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Cantidades exceptuadas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Instrucciones de embalaje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Disposiciones para el embalaje en común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Instrucciones de transporte en cisternas portátiles y contenedores para granel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T2</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Disposiciones especiales relativas a las cisternas portátiles y los contenedores para graneles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Código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LGBF</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Vehículo para el transporte en cisternas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FL</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Categoría de transporte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Disposiciones especiales de transporte - Bultos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100092E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C381AE4" w14:textId="6A4DCC20">
            <w:pPr>
              <w:pStyle w:val="SDSTableTextNormal"/>
              <w:rPr>
                <w:noProof w:val="0"/>
                <w:lang w:val="nl-BE"/>
              </w:rPr>
            </w:pPr>
            <w:r w:rsidRPr="0069446B">
              <w:rPr>
                <w:noProof/>
                <w:lang w:val="nl-BE"/>
              </w:rPr>
              <w:t>Disposiciones especiales de transporte - Explotación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F6C6DE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C0FEED" w14:textId="22FC5410">
            <w:pPr>
              <w:pStyle w:val="SDSTableTextNormal"/>
              <w:rPr>
                <w:noProof w:val="0"/>
              </w:rPr>
            </w:pPr>
            <w:r w:rsidRPr="0069446B" w:rsidR="00FA7F7F">
              <w:rPr>
                <w:noProof/>
              </w:rPr>
              <w:t>S2</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Número de identificación de peligro (código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30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Panel naranja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3" name="" descr="Panel nar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4"/>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Código de restricciones en túneles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D/E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Disposiciones especiales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163, 223, 904, 955</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Cantidades limitadas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Cantidades exceptuadas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Instrucciones de embalaje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P001, LP01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Instrucciones de embalaje GRG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Instrucciones para cisternas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T2</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Pr>
                <w:noProof/>
              </w:rPr>
              <w:t>Disposiciones especiales para las cisternas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Categoría de carga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7DBF7D2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A2CC5BD" w14:textId="22A6CE1F">
            <w:pPr>
              <w:pStyle w:val="SDSTableTextNormal"/>
              <w:rPr>
                <w:noProof w:val="0"/>
              </w:rPr>
            </w:pPr>
            <w:r w:rsidRPr="0069446B" w:rsidR="00FA7F7F">
              <w:rPr>
                <w:noProof/>
              </w:rPr>
              <w:t>Propiedades y observaciones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2AAC9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00AB7B" w14:textId="3F049827">
            <w:pPr>
              <w:pStyle w:val="SDSTableTextNormal"/>
              <w:rPr>
                <w:noProof w:val="0"/>
              </w:rPr>
            </w:pPr>
            <w:r w:rsidRPr="0069446B">
              <w:rPr>
                <w:noProof/>
              </w:rPr>
              <w:t>Miscibility with water depends upon the composition.</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Cantidades exceptuadas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Cantidades limitadas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Y344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Cantidad neta máxima para cantidad limitada en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10L</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Instrucciones de embalaje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355</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Cantidad neta máxima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60L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Instrucciones de embalaje exclusivamente para aviones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366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Pr>
                <w:noProof/>
              </w:rPr>
              <w:t>Cantidad máx. neta exclusivamente para aviones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220L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Disposiciones especiales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A3, A72</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Código GRE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3L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Código de clasificación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F1</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Disposiciones especiales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163</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Cantidades limitadas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Cantidades exceptuadas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Equipo requerido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EX, A</w:t>
            </w:r>
          </w:p>
        </w:tc>
      </w:tr>
      <w:tr w14:paraId="684412E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8BD6026" w14:textId="73DD1D54">
            <w:pPr>
              <w:pStyle w:val="SDSTableTextNormal"/>
              <w:rPr>
                <w:noProof w:val="0"/>
              </w:rPr>
            </w:pPr>
            <w:r w:rsidRPr="0069446B" w:rsidR="00FA7F7F">
              <w:rPr>
                <w:noProof/>
              </w:rPr>
              <w:t>Ventilación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1E90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8C4BC7" w14:textId="7C4C1B85">
            <w:pPr>
              <w:pStyle w:val="SDSTableTextNormal"/>
              <w:rPr>
                <w:noProof w:val="0"/>
              </w:rPr>
            </w:pPr>
            <w:r w:rsidRPr="0069446B" w:rsidR="00FA7F7F">
              <w:rPr>
                <w:noProof/>
              </w:rPr>
              <w:t>VE01</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Número de conos/luces azules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Código de clasificación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F1</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Disposiciones especiales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163</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Cantidades limitadas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Cantidades exceptuadas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Instrucciones de embalaje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Disposiciones particulares relativas al embalaje común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Instrucciones de transporte en cisternas portátiles y contenedores para granel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T2</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Disposiciones especiales relativas a las cisternas portátiles y los contenedores para graneles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Códigos de cisterna para las cisternas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LGBF</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Categoría de transporte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Disposiciones especiales de transporte - Bultos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Paquetes exprés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CE4</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 de identificación del peligro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30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Fragancia de coche - New Car ; ethyl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Fragancia de coche - New Car ; citronellol ; 4-tert-butylcyclohexyl acetate ; undecanal ; linalyl acetate ; ethyl acetate ; citral ; 2,6-dimethyloct-7-en-2-ol ; Eugenol ; d-limonene ; anisaldehyde ; (E)-anethole ; linalool ; methyl benzoate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undecanal ; 4-(2,6,6-trimethylcyclohex-2-ene-1-yl)-but-3-ene-2-one ; 4-(2,6,6-trimethylcyclohex-1-ene-1-yl)-but-3-ene-2-one ; d-limonene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Contiene una o varias sustancias incluidas en la lista de precursores de drogas (Reglamento CE 273/2004 relativa a la fabricación y puesta en el mercado de determinadas sustancias utilizadas para la fabricación ilícita de estupefacientes y sustancias psicotrópicas)</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Nombre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Denominación NC</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Código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Categoría,</w:t>
            </w:r>
          </w:p>
          <w:p w:rsidR="00A65092" w:rsidRPr="0069446B" w:rsidP="00E96366" w14:paraId="26779EFF" w14:textId="63E11907">
            <w:pPr>
              <w:pStyle w:val="SDSTableTextHeading1"/>
              <w:rPr>
                <w:noProof w:val="0"/>
                <w:color w:val="auto"/>
              </w:rPr>
            </w:pPr>
            <w:r w:rsidRPr="0069446B" w:rsidR="00FA7F7F">
              <w:rPr>
                <w:noProof/>
                <w:color w:val="auto"/>
              </w:rPr>
              <w:t>Subcategoría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Umbral</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Anexo</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Categoría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Anexo I</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(Cutánea)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(cutánea),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(Inhalación)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(por inhalación), categoría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para la reproducción, categoría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específica en determinados órganos – Exposición única, categoría 3, narcosis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muy inflamables.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contacto con la piel.</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inhalación.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irritar las vías respiratorias.</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somnolencia o vértigo.</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 sospecha que puede perjudicar la fertilidad o dañar el feto.</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E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E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r w14:paraId="63F052E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EUH066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La exposición repetida puede provocar sequedad o formación de grietas en la piel.</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Liq.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H226</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Pr>
                <w:noProof/>
              </w:rPr>
              <w:t>Conforme a datos obtenidos de ensayos</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Método de cálculo</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Método de cálculo</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Método de cálculo</w:t>
            </w:r>
          </w:p>
        </w:tc>
      </w:tr>
      <w:tr w14:paraId="76B6D775"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01/07/2026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01/07/2026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Fragancia de coche - New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5"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Fragancia de coche - New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según el Reglamento REACH (CE) 1907/2006 modificado por el Reglamento (CE) 2020/878</w:t>
          </w:r>
        </w:p>
        <w:p w:rsidR="009C6C12" w:rsidRPr="008F5B08" w:rsidP="008F5B08" w14:paraId="31267F45" w14:textId="67A5CBF0">
          <w:pPr>
            <w:pStyle w:val="SDSTableTextHeader"/>
          </w:pPr>
          <w:r>
            <w:rPr>
              <w:noProof/>
            </w:rPr>
            <w:t>Fecha de emisión: 01/07/2026   Versión: 4.0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footer" Target="footer2.xml"/><Relationship Id="rId8" Type="http://schemas.openxmlformats.org/officeDocument/2006/relationships/image" Target="media/image3.png"/><Relationship Id="rId21" Type="http://schemas.openxmlformats.org/officeDocument/2006/relationships/theme" Target="theme/theme1.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1.xml"/><Relationship Id="rId7" Type="http://schemas.openxmlformats.org/officeDocument/2006/relationships/image" Target="media/image2.png"/><Relationship Id="rId25" Type="http://schemas.openxmlformats.org/officeDocument/2006/relationships/customXml" Target="../customXml/item4.xml"/><Relationship Id="rId16" Type="http://schemas.openxmlformats.org/officeDocument/2006/relationships/header" Target="header2.xml"/><Relationship Id="rId2" Type="http://schemas.openxmlformats.org/officeDocument/2006/relationships/webSettings" Target="webSettings.xml"/><Relationship Id="rId20" Type="http://schemas.openxmlformats.org/officeDocument/2006/relationships/footer" Target="footer3.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3.xml"/><Relationship Id="rId15" Type="http://schemas.openxmlformats.org/officeDocument/2006/relationships/header" Target="header1.xml"/><Relationship Id="rId5" Type="http://schemas.openxmlformats.org/officeDocument/2006/relationships/hyperlink" Target="mailto:office@labsys.fr" TargetMode="External"/><Relationship Id="rId23" Type="http://schemas.openxmlformats.org/officeDocument/2006/relationships/customXml" Target="../customXml/item2.xml"/><Relationship Id="rId10" Type="http://schemas.openxmlformats.org/officeDocument/2006/relationships/image" Target="media/image5.png"/><Relationship Id="rId19" Type="http://schemas.openxmlformats.org/officeDocument/2006/relationships/header" Target="header3.xml"/><Relationship Id="rId14" Type="http://schemas.openxmlformats.org/officeDocument/2006/relationships/image" Target="media/image9.png"/><Relationship Id="rId22"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image" Target="media/image4.png"/></Relationships>
</file>

<file path=word/_rels/header3.xml.rels><?xml version="1.0" encoding="utf-8" standalone="yes"?><Relationships xmlns="http://schemas.openxmlformats.org/package/2006/relationships"><Relationship Id="rId1" Type="http://schemas.openxmlformats.org/officeDocument/2006/relationships/image" Target="media/image10.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92ACC23-EA28-41A1-92B3-B7732FA9B320}"/>
</file>

<file path=customXml/itemProps3.xml><?xml version="1.0" encoding="utf-8"?>
<ds:datastoreItem xmlns:ds="http://schemas.openxmlformats.org/officeDocument/2006/customXml" ds:itemID="{D669AAF6-7E4C-4F43-955C-616F6F267DBA}"/>
</file>

<file path=customXml/itemProps4.xml><?xml version="1.0" encoding="utf-8"?>
<ds:datastoreItem xmlns:ds="http://schemas.openxmlformats.org/officeDocument/2006/customXml" ds:itemID="{DABDE0E5-C75B-412D-93DC-DAF29F9D478E}"/>
</file>

<file path=docProps/app.xml><?xml version="1.0" encoding="utf-8"?>
<Properties xmlns="http://schemas.openxmlformats.org/officeDocument/2006/extended-properties" xmlns:vt="http://schemas.openxmlformats.org/officeDocument/2006/docPropsVTypes">
  <Template>Normal</Template>
  <TotalTime>219</TotalTime>
  <Pages>23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