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Fleur de sakura candle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α-hexylcinnamaldehyde; 7-hydroxycitronellal; linalyl acetate;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agua.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7-hydroxycitronellal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107-75-5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203-518-7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Almacenar a temperatura ambiente y alejado de cualquier fuente de calor.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Green. Floral. Honeydew.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6400 mg/kg de peso corporal Animal: rat, Guideline: OECD Guideline 401 (Acute Oral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(crónico, oral, animal/macho, 2 años)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453 (Combined Chronic Toxicity / Carcinogenicity Studies)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animal/macho,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de peso corporal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Fleur de sakura candle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31,6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410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123,32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Fleur de sakura candle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7-hydroxycitronellal (107-75-5)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7-hydroxycitronellal ; linalyl acetate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04/05/2026 (Fecha de revisión)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04/05/2026 (Fecha de revisión)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Fleur de sakura candle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Fleur de sakura candle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04/05/2026   Fecha de revisión: 04/05/2026   Reemplaza la versión de: 04/05/2026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56BA43-D6F7-4D84-9389-D5C654030899}"/>
</file>

<file path=customXml/itemProps3.xml><?xml version="1.0" encoding="utf-8"?>
<ds:datastoreItem xmlns:ds="http://schemas.openxmlformats.org/officeDocument/2006/customXml" ds:itemID="{AE732D25-1167-4241-ADD5-74123ED849FC}"/>
</file>

<file path=customXml/itemProps4.xml><?xml version="1.0" encoding="utf-8"?>
<ds:datastoreItem xmlns:ds="http://schemas.openxmlformats.org/officeDocument/2006/customXml" ds:itemID="{77B0CCB8-F254-4810-BAB9-A7829327DF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