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Detergente líquido en el aire 5%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p w:rsidR="00827634" w:rsidRPr="0069446B" w:rsidP="009E5102" w14:paraId="66EA39E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ISOBORNEOL, 1-(1,2,3,4,5,6,7,8-octahydro-2,3,8,8-tetramethyl-2-naphthyl)ethan-1-one,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79014713" w14:textId="77777777" w:rsidTr="00624F24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0219BE" w14:textId="269042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Observaciones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6A25F2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E29E9F6" w14:textId="77AC8A6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Agua, jabones de ácidos grasos de origen vegetal, glicerina, espesante, conservante, agente quelante.</w:t>
            </w:r>
          </w:p>
        </w:tc>
      </w:tr>
    </w:tbl>
    <w:p w:rsidR="00827634" w:rsidRPr="0069446B" w:rsidP="000C6FFC" w14:paraId="44C7A71D" w14:textId="71DF9C69">
      <w:pPr>
        <w:pStyle w:val="SDSTextNormal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Hydroxyethylcellulose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9004-62-0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STOT SE 3, H335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Potassium Olivate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68154-77-8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268-921-2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potassium hydroxide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1310-58-3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215-181-3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019-002-00-8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1A, H314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potassium hydroxide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1310-58-3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215-181-3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019-002-00-8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(0,5 ≤ C &lt; 2) Skin Irrit. 2; H315</w:t>
              <w:br/>
              <w:t>(0,5 ≤ C &lt; 2) Eye Irrit. 2; H319</w:t>
              <w:br/>
              <w:t>(2 ≤ C &lt; 5) Skin Corr. 1B; H314</w:t>
              <w:br/>
              <w:t>(5 ≤ C ≤ 100) Skin Corr. 1A; H314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Aldehído.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0A6BF1C" w14:textId="4259DB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10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7E6D8D8" w14:textId="2532CE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Soluble.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1,01665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de peso corporal Animal: mouse,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  <w:p w:rsidR="00827634" w:rsidRPr="0069446B" w:rsidP="009B0F88" w14:paraId="1123C825" w14:textId="02596E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A7593A" w:rsidRPr="0069446B" w:rsidP="009215A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8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potassium hydroxide (1310-58-3)</w:t>
            </w:r>
          </w:p>
        </w:tc>
      </w:tr>
      <w:tr w14:paraId="6CC585F6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≈ 13,5 Temp.: 25 °C Concentration: 5,611</w:t>
            </w:r>
            <w:r w:rsidRPr="0069446B">
              <w:rPr>
                <w:rFonts w:hint="eastAsia"/>
                <w:noProof/>
                <w:lang w:eastAsia="ja-JP"/>
              </w:rPr>
              <w:t xml:space="preserve"> g/L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  <w:p w:rsidR="00827634" w:rsidRPr="0069446B" w:rsidP="009B0F88" w14:paraId="7110DF0F" w14:textId="183F9C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A7593A" w:rsidRPr="0069446B" w:rsidP="009215A8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5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potassium hydroxide (1310-58-3)</w:t>
            </w:r>
          </w:p>
        </w:tc>
      </w:tr>
      <w:tr w14:paraId="58CDE2D2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≈ 13,5 Temp.: 25 °C Concentration: 5,611</w:t>
            </w:r>
            <w:r w:rsidRPr="0069446B">
              <w:rPr>
                <w:rFonts w:hint="eastAsia"/>
                <w:noProof/>
                <w:lang w:eastAsia="ja-JP"/>
              </w:rPr>
              <w:t xml:space="preserve"> g/L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Hydroxyethylcellulose (9004-62-0)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Detergente líquido en el aire 5%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Hydroxyethylcellulose (9004-62-0)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Potassium Olivate (68154-77-8)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potassium hydroxide (1310-58-3)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4-tert-butylcyclohexyl acetate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Detergente líquido en el aire 5% ; 3a,4,5,6,7,7a-hexahydro-4,7-methanoinden-6-yl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ISOBORNEOL, 1-(1,2,3,4,5,6,7,8-octahydro-2,3,8,8-tetramethyl-2-naphthyl)ethan-1-one, ROSE KETONE-3.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Detergente líquido en el aire 5%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Detergente líquido en el aire 5%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3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png"/><Relationship Id="rId15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222ED-8D94-4442-AF63-F4C2B47F3F47}"/>
</file>

<file path=customXml/itemProps3.xml><?xml version="1.0" encoding="utf-8"?>
<ds:datastoreItem xmlns:ds="http://schemas.openxmlformats.org/officeDocument/2006/customXml" ds:itemID="{E5CCFCEF-0693-4449-9105-73F6AD68B000}"/>
</file>

<file path=customXml/itemProps4.xml><?xml version="1.0" encoding="utf-8"?>
<ds:datastoreItem xmlns:ds="http://schemas.openxmlformats.org/officeDocument/2006/customXml" ds:itemID="{EDA34738-B49A-45D7-B795-939FE3305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