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frutos rojos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sidRPr="0069446B">
        <w:rPr>
          <w:noProof/>
        </w:rPr>
        <w:t>Puede provocar una reacción alérgica en la piel.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3-methyl-4-(2,6,6-trimethyl-2-cyclohexen-1-yl)-3-buten-2-one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Puede provocar una alergia cutánea.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de peso corporal)</w:t>
              <w:br/>
              <w:t>Acute Tox. 4 (Inhalación),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acetate</w:t>
            </w:r>
            <w:r w:rsidRPr="0069446B">
              <w:rPr>
                <w:noProof w:val="0"/>
                <w:color w:val="auto"/>
              </w:rPr>
              <w:t xml:space="preserve"> </w:t>
            </w:r>
            <w:r w:rsidRPr="0069446B" w:rsidR="00FD53E4">
              <w:rPr>
                <w:noProof/>
                <w:color w:val="auto"/>
              </w:rPr>
              <w:t>(140-11-4)</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Acetato de bencilo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62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Afrutado.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acetate (140-11-4)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peso corporal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peso corporal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peso corporal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de peso corporal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frutos rojos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acetate (140-11-4)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110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92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0,92 mg/l Test organisms (species): Oryzias latipes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Alcool benzylique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frutos rojos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acetate (140-11-4)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Alcool benzylique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Alcool benzylique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d-limonene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(por inhalación),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frutos rojos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frutos rojos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17/08/2026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E12A3A7-1DC7-4685-9142-FEE3BDD9C842}"/>
</file>

<file path=customXml/itemProps3.xml><?xml version="1.0" encoding="utf-8"?>
<ds:datastoreItem xmlns:ds="http://schemas.openxmlformats.org/officeDocument/2006/customXml" ds:itemID="{72340514-E1A4-4E4A-A003-9475F01378FA}"/>
</file>

<file path=customXml/itemProps4.xml><?xml version="1.0" encoding="utf-8"?>
<ds:datastoreItem xmlns:ds="http://schemas.openxmlformats.org/officeDocument/2006/customXml" ds:itemID="{56D223F8-3135-4BBF-9F2D-8A72D39B7EDC}"/>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