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musc blanc et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2-benzylideneheptanal, pentadecan-15-olide, coumarin, 3-methyl-4-(2,6,6-trimethyl-2-cyclohexen-1-yl)-3-buten-2-one.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musc blanc et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musc blanc et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2-benzylideneheptanal, pentadecan-15-olide, coumarin, 3-methyl-4-(2,6,6-trimethyl-2-cyclohexen-1-yl)-3-buten-2-one.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musc blanc et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musc blanc et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9771138-AE8A-4258-ABA5-25E1D07D2DD8}"/>
</file>

<file path=customXml/itemProps3.xml><?xml version="1.0" encoding="utf-8"?>
<ds:datastoreItem xmlns:ds="http://schemas.openxmlformats.org/officeDocument/2006/customXml" ds:itemID="{EBF80A62-915F-46CE-B0FB-EEC192F53292}"/>
</file>

<file path=customXml/itemProps4.xml><?xml version="1.0" encoding="utf-8"?>
<ds:datastoreItem xmlns:ds="http://schemas.openxmlformats.org/officeDocument/2006/customXml" ds:itemID="{F1A90550-3299-4BF9-8A1E-86408191F72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