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Yuzu candle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Flammable solids Not classified</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May cause an allergic skin reaction.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3,7-dimethyloctan-3-ol; citral; linalool; d-limonene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P302+P352 - IF ON SKIN: Wash with plenty of soap and water.</w:t>
              <w:br/>
              <w:t>P333+P313 - If skin irritation or rash occurs: Get medical advice/attention.</w:t>
              <w:br/>
              <w:t>P501 - Dispose of contents and 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3,7-dimethyloctan-3-ol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78-69-3</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201-133-9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5392-40-5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226-394-6</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0.761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0.731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Hesperidaceae. Green. Fruity. Spicy.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3,7-dimethyloctan-3-ol (78-69-3)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sidR="00FA7F7F">
              <w:rPr>
                <w:noProof/>
              </w:rPr>
              <w:t>8270 mg/kg bodyweight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 6800 mg/kg bodyweight Animal: rat</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sidR="00FA7F7F">
              <w:rPr>
                <w:noProof/>
              </w:rPr>
              <w:t>&gt; 2000 mg/kg bodyweight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bodyweight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bodyweight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bodyweight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female,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citral (5392-40-5)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(chronic, oral, animal/male, 2 years)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bodyweight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bodyweight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3,7-dimethyloctan-3-ol (78-69-3)</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(inhalation, rat, gas,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bodyweight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(inhalation, rat, gas,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(subchronic, oral, animal/male,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bodyweight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Yuzu candle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3,7-dimethyloctan-3-ol (78-69-3)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13.393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3,7-dimethyloctan-3-ol (78-69-3)</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8.9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14.2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21.6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Crustacea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Yuzu candle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3,7-dimethyloctan-3-ol (78-69-3)</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3,7-dimethyloctan-3-ol ; citral ; linalool ; 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Hazardous to the aquatic environment – Acute Hazard, Category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 hazard, Category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liquids, Category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Sol. Not classified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solids Not classified</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 and vapour.</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be fatal if swallowed and enters airways.</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Sol. Not classified</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Expert judgement</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9/11/2026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9/11/2026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Yuzu candle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Yuzu candle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9/11/2026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509F633F-34D0-48D9-97FC-8C387174F69E}"/>
</file>

<file path=customXml/itemProps3.xml><?xml version="1.0" encoding="utf-8"?>
<ds:datastoreItem xmlns:ds="http://schemas.openxmlformats.org/officeDocument/2006/customXml" ds:itemID="{13042D26-D47A-41A9-B1E8-E510FD6A6853}"/>
</file>

<file path=customXml/itemProps4.xml><?xml version="1.0" encoding="utf-8"?>
<ds:datastoreItem xmlns:ds="http://schemas.openxmlformats.org/officeDocument/2006/customXml" ds:itemID="{530DFE3B-DDB2-4114-B91E-ADBB03E856D0}"/>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