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Scented mist monoï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Fragrant mist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Soft.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Scented mist monoï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Scented mist monoï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Scented mist monoï 3%</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according to the REACH Regulation (EC) 1907/2006 amended by Regulation (EU) 2020/878</w:t>
          </w:r>
        </w:p>
        <w:p w:rsidR="009C6C12" w:rsidRPr="008F5B08" w:rsidP="008F5B08" w14:paraId="31267F45" w14:textId="67A5CBF0">
          <w:pPr>
            <w:pStyle w:val="SDSTableTextHeader"/>
          </w:pPr>
          <w:r>
            <w:rPr>
              <w:noProof/>
            </w:rPr>
            <w:t>Issue date: 6/30/2026   Version: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1FD417-C1AA-4E2F-B20B-8CE645D3F558}"/>
</file>

<file path=customXml/itemProps3.xml><?xml version="1.0" encoding="utf-8"?>
<ds:datastoreItem xmlns:ds="http://schemas.openxmlformats.org/officeDocument/2006/customXml" ds:itemID="{5A03B93C-707D-400C-A78D-7131E0871EE0}"/>
</file>

<file path=customXml/itemProps4.xml><?xml version="1.0" encoding="utf-8"?>
<ds:datastoreItem xmlns:ds="http://schemas.openxmlformats.org/officeDocument/2006/customXml" ds:itemID="{76F20258-8A6D-4C79-8DBF-930EE13D6C47}"/>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