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Nuage de lotus candle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P501 - Dispose of contents/container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3,7-dimethylnona-1,6-dien-3-ol, geraniol; (2E)-3,7-dimethylocta-2,6-dien-1-ol, alpha-iso-methylionone, 3-(p-methoxyphenyl)-2-methylpropionaldehyde, citronellol.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not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10339-55-6</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203-377-1</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0.3472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3-(p-methoxyphenyl)-2-methylpropionaldehyde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5462-06-6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226-749-5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 Powdered. Musk.</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geraniol (106-24-1)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3600 mg/kg bodyweight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3-(p-methoxyphenyl)-2-methylpropionaldehyde (5462-06-6)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4000 mg/kg bodyweight Animal: rat, Animal sex: male, Guideline: OECD Guideline 401 (Acute Oral Toxicity), 95% CL: 3400 - 4600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bodyweight Animal: rat, Guideline: OECD Guideline 401 (Acute Oral Toxicity), 95% CL: 2755 - 3600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bodyweight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bodyweight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Nuage de lotus candle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geraniol (106-24-1)</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 22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10.8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3-(p-methoxyphenyl)-2-methylpropionaldehyde (5462-06-6)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5.2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12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Nuage de lotus candle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3,7-dimethylnona-1,6-dien-3-ol (10339-55-6)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3-(p-methoxyphenyl)-2-methylpropionaldehyde (5462-06-6)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geraniol ; 3-(p-methoxyphenyl)-2-methylpropionaldehyde ; 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Hazardous to the aquatic environment – Chronic Hazard, Category 2</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3,7-dimethylnona-1,6-dien-3-ol, geraniol; (2E)-3,7-dimethylocta-2,6-dien-1-ol, alpha-iso-methylionone, 3-(p-methoxyphenyl)-2-methylpropionaldehyde, citronellol. May produce an allergic reaction.</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3/25/2026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3/25/2026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Nuage de lotus candle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Nuage de lotus candle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3/25/2026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8C4C70E-5368-48D2-A125-9C70B4CD604C}"/>
</file>

<file path=customXml/itemProps3.xml><?xml version="1.0" encoding="utf-8"?>
<ds:datastoreItem xmlns:ds="http://schemas.openxmlformats.org/officeDocument/2006/customXml" ds:itemID="{2F4A1827-6023-4945-87D6-E7AD800C406D}"/>
</file>

<file path=customXml/itemProps4.xml><?xml version="1.0" encoding="utf-8"?>
<ds:datastoreItem xmlns:ds="http://schemas.openxmlformats.org/officeDocument/2006/customXml" ds:itemID="{C85BD9E3-E61B-490B-A961-240234CDD166}"/>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