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Lavande candle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p w:rsidR="00827634" w:rsidRPr="0069446B" w:rsidP="009E5102" w14:paraId="29F388B8" w14:textId="4336E5B9">
      <w:pPr>
        <w:pStyle w:val="SDSTextNormal"/>
        <w:rPr>
          <w:noProof/>
        </w:rPr>
      </w:pPr>
      <w:r w:rsidRPr="0069446B">
        <w:rPr>
          <w:noProof/>
        </w:rPr>
        <w:t>Not classified</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39CDAC99" w14:textId="77777777">
      <w:pPr>
        <w:pStyle w:val="SDSTextNormal"/>
        <w:bidi w:val="0"/>
        <w:rPr>
          <w:rtl w:val="0"/>
        </w:rPr>
      </w:pPr>
      <w:r w:rsidRPr="0069446B">
        <w:rPr>
          <w:rtl w:val="0"/>
        </w:rPr>
        <w:t>No additional information available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linalool, linalyl acetate, cineole, coumarin, geraniol; (2E)-3,7-dimethylocta-2,6-dien-1-ol.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Component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not included in the list established in accordance with Article 59(1) of REACH for having endocrine disrupting properties, or is not identified as having endocrine disrupting properties in accordance with the criteria set out in Commission Delegated Regulation (EU) 2017/2100 or Commission Regulation (EU) 2018/605</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ethylene brassylate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105-95-3</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203-347-8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1.538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0.366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cineole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470-82-6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207-431-5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Flammable solid.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No open flames, no sparks, and no smoking.</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Pr>
                <w:noProof/>
                <w:lang w:val="fr-BE"/>
              </w:rPr>
              <w:t>Mechanically recover the product. Notify authorities if product enters sewers or public waters.</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 Keep away from heat, hot surfaces, sparks, open flames and other ignition sources. No smoking. Ground/bond container and receiving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sidR="00FA7F7F">
              <w:rPr>
                <w:noProof/>
              </w:rPr>
              <w:t>Ground/bond container and receiving equipment.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Keep cool. Protect from sunlight. Keep away from ignition sources.</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Personal protection equipment</w:t>
      </w:r>
    </w:p>
    <w:p w:rsidR="00404CA3" w:rsidRPr="0069446B" w:rsidP="00404CA3" w14:paraId="410C6189" w14:textId="4546F574">
      <w:pPr>
        <w:pStyle w:val="SDSTextHeading4"/>
        <w:rPr>
          <w:noProof w:val="0"/>
          <w:color w:val="auto"/>
          <w:lang w:val="en-US"/>
        </w:rPr>
      </w:pPr>
      <w:r w:rsidRPr="0069446B" w:rsidR="00FA7F7F">
        <w:rPr>
          <w:noProof/>
          <w:color w:val="auto"/>
          <w:lang w:val="en-US"/>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Respiratory protection</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In case of insufficient ventilation, wear suitable respiratory equipment</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lavender. Musk. Rural.</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Flammable solid.</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sidRPr="0069446B">
        <w:rPr>
          <w:noProof/>
        </w:rPr>
        <w:t>Flammable solid.</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Avoid contact with hot surfaces. Heat. No flames, no sparks. Eliminate all sources of ignition.</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ethylene brassylate (105-95-3)</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sidR="00FA7F7F">
              <w:rPr>
                <w:noProof/>
              </w:rPr>
              <w:t>&gt; 5000 mg/kg bodyweight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bodyweight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bodyweight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bodyweight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9000 mg/kg bodyweight Animal: rat</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bodyweight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bodyweight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bodyweight Animal: rat, 95% CL: 2840 - 4570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bodyweight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bodyweight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ethylene brassylate (105-95-3)</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bodyweight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cineole (470-82-6)</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600 mg/kg bodyweight Animal: rat, Animal sex: female, Guideline: other:, Guideline: OECD Guideline 407 (Repeated Dose 28-Day Oral Toxicity Study in Rodents), Guideline: EPA OPPTS 870.3150 (90-Day Oral Toxicity in Non-rodents)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(subchronic, oral, animal/female,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bodyweight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bodyweight Animal: rat, Guideline: other:,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Lavande candle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ethylene brassylate (105-95-3)</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1.23 mg/l Test organisms (species): Danio rerio (previous name: Brachydanio rerio)</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2.13 mg/l Test organisms (species): Danio rerio (previous name: Brachydanio rerio)</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6.94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14.579 mg/l Test organisms (species): Desmodesmus subspicatus (previous name: Scenedesmus subspicatus)</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0.788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cineole (470-82-6)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57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&gt; 100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74 mg/l Test organisms (species): Raphidocelis subcapitata (previous names: Pseudokirchneriella subcapitata, Selenastrum capricornutum)</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&gt; 74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sidR="00FA7F7F">
              <w:rPr>
                <w:noProof/>
              </w:rPr>
              <w:t>1.324 mg/l Test organisms (species):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Lavande candle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ethylene brassylate (105-95-3)</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cineole (470-82-6)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linalool ; linalyl acetate ; cineole ; geraniol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cineole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ethylene brassylate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(oral),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liquids, Category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 and vapour.</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damage.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linalool, linalyl acetate, cineole, coumarin, geraniol; (2E)-3,7-dimethylocta-2,6-dien-1-ol. May produce an allergic reaction.</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6/1/2026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6/1/2026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Lavande candle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Lavande candle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6/1/2026   Version: 4.0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BA69C748-CBDE-4E93-91C6-D0A1BEC85FE4}"/>
</file>

<file path=customXml/itemProps3.xml><?xml version="1.0" encoding="utf-8"?>
<ds:datastoreItem xmlns:ds="http://schemas.openxmlformats.org/officeDocument/2006/customXml" ds:itemID="{0098F7AF-6539-4127-8D40-1E793E336D29}"/>
</file>

<file path=customXml/itemProps4.xml><?xml version="1.0" encoding="utf-8"?>
<ds:datastoreItem xmlns:ds="http://schemas.openxmlformats.org/officeDocument/2006/customXml" ds:itemID="{3A4A5796-9E41-4D04-B21A-994FFC2D08EF}"/>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