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Coco solaire candle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isopentyl salicylate, TETRAHYDROLINALOOL.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tetrahydro-2-isobutyl-4-methyl-pyran-4-ol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1.0892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0.5831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2050-08-0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218-080-2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Oriental. balsamic. Fruity.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tetrahydro-2-isobutyl-4-methyl-pyran-4-ol</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Guideline: EU Method B.1 (Acute Toxicity (Oral)),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bodyweight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pentyl salicylate (2050-08-0)</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2000 mg/kg bodyweight Animal: rat, Animal sex: male, Guideline: OECD Guideline 401 (Acute Oral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pentyl salicylate (2050-08-0)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540 mg/kg bodyweight Animal: rat, Animal sex: male, Guideline: OECD Guideline 415 [One-Generation Reproduction Toxicity Study (before 9 October 2017)]</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180 mg/kg bodyweight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tetrahydro-2-isobutyl-4-methyl-pyran-4-ol</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125 mg/kg bodyweight Animal: rat, Guideline: OECD Guideline 407 (Repeated Dose 28-Day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bodyweight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Coco solaire candle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tetrahydro-2-isobutyl-4-methyl-pyran-4-ol</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 320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8.9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pentyl salicylate (2050-08-0)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0.88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Coco solaire candle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isopentyl salicylate (87-20-7)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tetrahydro-2-isobutyl-4-methyl-pyran-4-ol</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pentyl salicylate (2050-08-0)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tetrahydro-2-isobutyl-4-methyl-pyran-4-ol ; 3,7-dimethyloctan-3-ol ; pentyl salicylate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pentyl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isopentyl salicylate, TETRAHYDROLINALOOL.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3/23/2026 (Revision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3/23/2026 (Revision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Coco solaire candle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Coco solaire candle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6/26/2026   Revision date: 3/23/2026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6F38231-7672-40A2-9F66-DAC2939C35BC}"/>
</file>

<file path=customXml/itemProps3.xml><?xml version="1.0" encoding="utf-8"?>
<ds:datastoreItem xmlns:ds="http://schemas.openxmlformats.org/officeDocument/2006/customXml" ds:itemID="{063DC642-2A15-4F48-A9AC-32DA117436B8}"/>
</file>

<file path=customXml/itemProps4.xml><?xml version="1.0" encoding="utf-8"?>
<ds:datastoreItem xmlns:ds="http://schemas.openxmlformats.org/officeDocument/2006/customXml" ds:itemID="{FFE8739D-696A-426B-8B6E-6631277C33DC}"/>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