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Coco solaire candle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isopentyl salicylate, TETRAHYDROLINALOOL, linalyl acetate, coumarin, 3-(p-cumenyl)-2-methylpropionaldehyde.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Oriental. balsamic. 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tetrahydro-2-isobutyl-4-methyl-pyran-4-ol</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bodyweight Animal: rat, Animal sex: male,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bodyweight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bodyweight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tetrahydro-2-isobutyl-4-methyl-pyran-4-ol</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Coco solaire candle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Coco solaire candle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isopentyl salicylate, TETRAHYDROLINALOOL, linalyl acetate, coumarin, 3-(p-cumenyl)-2-methylpropionaldehyde.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Coco solaire candle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Coco solaire candle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88C1BF8-47AA-4180-BAE3-EBC8FFE96FC9}"/>
</file>

<file path=customXml/itemProps3.xml><?xml version="1.0" encoding="utf-8"?>
<ds:datastoreItem xmlns:ds="http://schemas.openxmlformats.org/officeDocument/2006/customXml" ds:itemID="{49EC60A7-744F-4D22-A98C-23149906D7D8}"/>
</file>

<file path=customXml/itemProps4.xml><?xml version="1.0" encoding="utf-8"?>
<ds:datastoreItem xmlns:ds="http://schemas.openxmlformats.org/officeDocument/2006/customXml" ds:itemID="{40D03267-A51B-42CE-8F19-A7299AD33B1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