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verveine et menthe poivrée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Skin sensitisation, Category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May cause an allergic skin reaction.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Signal word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Warning</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Contains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citronellol; α-hexylcinnamaldehyde; geraniol; cineole; citronellal; citral; linalool; d-limonene; carvone; linalyl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May cause an allergic skin reaction.</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P302+P352 - IF ON SKIN: Wash with plenty of soap and water.</w:t>
              <w:br/>
              <w:t>P333+P313 - If skin irritation or rash occurs: Get medical advice/attention.</w:t>
              <w:br/>
              <w:t>P501 - Dispose of contents and container to a sorting center, in accordance with local regulations.</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0"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Component</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5.862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106-23-0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203-376-6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99-49-0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202-759-5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cineole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470-82-6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207-431-5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0.188</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Sens. 1B, H317</w:t>
            </w:r>
          </w:p>
        </w:tc>
      </w:tr>
      <w:tr w14:paraId="73AD14F7"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Wash skin with plenty of water. Take off contaminated clothing. If skin irritation or rash occurs: Get medical advice/attention.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May cause an allergic skin reaction.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Ventilate spillage area. Avoid contact with skin and eyes. Avoid breathing dust/fume/gas/mist/vapours/spray.</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Avoid contact with skin and eyes. Avoid breathing dust/fume/gas/mist/vapours/spray.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Contaminated work clothing should not be allowed out of the workplace. Wash contaminated clothing before reuse. 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Verbena. Citric. Lemon. Floral.</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bodyweight Animal: rat, 95% CL: 2840 - 4570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citronellal (106-23-0)</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sidR="00FA7F7F">
              <w:rPr>
                <w:noProof/>
              </w:rPr>
              <w:t>&gt; 2000 mg/kg bodyweight Animal: rat</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2500 –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bodyweight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May cause an allergic skin reaction.</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3F55FECE">
            <w:pPr>
              <w:pStyle w:val="SDSTableTextHeading1"/>
              <w:rPr>
                <w:noProof w:val="0"/>
                <w:color w:val="auto"/>
              </w:rPr>
            </w:pPr>
            <w:r w:rsidRPr="0069446B" w:rsidR="00FA7F7F">
              <w:rPr>
                <w:noProof/>
                <w:color w:val="auto"/>
              </w:rPr>
              <w:t>citronellal (106-23-0)</w:t>
            </w:r>
          </w:p>
        </w:tc>
      </w:tr>
      <w:tr w14:paraId="095C82A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F4EB77">
            <w:pPr>
              <w:pStyle w:val="SDSTableTextNormal"/>
              <w:rPr>
                <w:noProof w:val="0"/>
              </w:rPr>
            </w:pPr>
            <w:r w:rsidRPr="0069446B" w:rsidR="00FA7F7F">
              <w:rPr>
                <w:noProof/>
              </w:rPr>
              <w:t>NOAEL (chronic, oral, animal/male, 2 years)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52C4C8">
            <w:pPr>
              <w:pStyle w:val="SDSTableTextNormal"/>
              <w:rPr>
                <w:noProof w:val="0"/>
              </w:rPr>
            </w:pPr>
            <w:r w:rsidRPr="0069446B">
              <w:rPr>
                <w:noProof/>
              </w:rPr>
              <w:t>60 mg/kg bodyweight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bodyweight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cineole (470-82-6)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600 mg/kg bodyweight Animal: rat, Animal sex: female, Guideline: other:, Guideline: OECD Guideline 407 (Repeated Dose 28-Day Oral Toxicity Study in Rodents), Guideline: EPA OPPTS 870.3150 (90-Day Oral Toxicity in Non-rodents)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citronellal (106-23-0)</w:t>
            </w:r>
          </w:p>
        </w:tc>
      </w:tr>
      <w:tr w14:paraId="42A847A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F68F7FC" w14:textId="315015CF">
            <w:pPr>
              <w:pStyle w:val="SDSTableTextNormal"/>
              <w:rPr>
                <w:noProof w:val="0"/>
              </w:rPr>
            </w:pPr>
            <w:r w:rsidRPr="0069446B" w:rsidR="00FA7F7F">
              <w:rPr>
                <w:noProof/>
              </w:rPr>
              <w:t>LOAEC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8FE6653" w14:textId="5FF84CD9">
            <w:pPr>
              <w:pStyle w:val="SDSTableTextNormal"/>
              <w:rPr>
                <w:noProof w:val="0"/>
              </w:rPr>
            </w:pPr>
            <w:r w:rsidRPr="0069446B" w:rsidR="00FA7F7F">
              <w:rPr>
                <w:noProof/>
              </w:rPr>
              <w:t>68 ppm Animal: rat, Animal sex: female</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bodyweight Animal: rat, Guideline: OECD Guideline 453 (Combined Chronic Toxicity / Carcinogenicity Studies)</w:t>
            </w:r>
          </w:p>
        </w:tc>
      </w:tr>
      <w:tr w14:paraId="7DB1732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12186D5" w14:textId="59F51324">
            <w:pPr>
              <w:pStyle w:val="SDSTableTextNormal"/>
              <w:rPr>
                <w:noProof w:val="0"/>
                <w:lang w:val="de-DE"/>
              </w:rPr>
            </w:pPr>
            <w:r w:rsidRPr="0069446B" w:rsidR="00FA7F7F">
              <w:rPr>
                <w:noProof/>
                <w:lang w:val="de-DE"/>
              </w:rPr>
              <w:t>NOAEC (inhalation, rat, gas,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3E3E78EA" w14:textId="1918185F">
            <w:pPr>
              <w:pStyle w:val="SDSTableTextNormal"/>
              <w:rPr>
                <w:noProof w:val="0"/>
              </w:rPr>
            </w:pPr>
            <w:r w:rsidRPr="0069446B" w:rsidR="00FA7F7F">
              <w:rPr>
                <w:noProof/>
              </w:rPr>
              <w:t>34 ppm Animal: rat, Animal sex: female</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(subchronic, oral, animal/male,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bodyweight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F"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verveine et menthe poivrée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1" w:name="_Hlk54089399"/>
      <w:r w:rsidRPr="0069446B" w:rsidR="00FA7F7F">
        <w:rPr>
          <w:noProof/>
          <w:color w:val="auto"/>
          <w:lang w:val="en-GB"/>
        </w:rPr>
        <w:t>Information on other hazards</w:t>
      </w:r>
      <w:bookmarkEnd w:id="1"/>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The product is not considered harmful to aquatic organisms nor to cause long-term adverse effects in the environment.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Not classified (Based on available data, the classification criteria are not met)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geraniol (106-24-1)</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cineole (470-82-6)</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57 mg/l Test organisms (species): Oncorhynchus mykiss (previous name: Salmo gairdneri)</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&gt; 100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&gt; 74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&gt; 74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citronellal (106-23-0)</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8.7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6.74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Pr>
                <w:noProof/>
                <w:color w:val="auto"/>
              </w:rPr>
              <w:t>Candle verveine et menthe poivrée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citronellol (106-22-9)</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cineole (470-82-6)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citronellal (106-23-0)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p w:rsidR="009F53E3" w:rsidRPr="0069446B" w:rsidP="009E5102" w14:paraId="4CF14847" w14:textId="031A2CAD">
      <w:pPr>
        <w:pStyle w:val="SDSTextNormal"/>
        <w:bidi w:val="0"/>
        <w:rPr>
          <w:rtl w:val="0"/>
        </w:rPr>
      </w:pPr>
      <w:r w:rsidRPr="0069446B">
        <w:rPr>
          <w:rtl w:val="0"/>
        </w:rPr>
        <w:t>No additional information available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2"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2"/>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EU restriction list (REACH Annex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Reference 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on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sidR="00FA7F7F">
              <w:rPr>
                <w:noProof/>
                <w:color w:val="auto"/>
              </w:rPr>
              <w:t>Entry title or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cineole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geraniol ; cineole ; citronellal ; linalool ; d-limonene ; linalyl acetate ; benzyl alcohol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or mixtures fulfilling the criteria for any of the following hazard classes or categories set out in Annex I to Regulation (EC) No 1272/2008: Hazard class 4.1</w:t>
            </w:r>
          </w:p>
        </w:tc>
      </w:tr>
    </w:tbl>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no substance(s) listed on the Drug Precursors list (Regulation EC 273/2004 on the manufacture and the placing on market of certain substances used in the illicit manufacture of narcotic drugs and psychotropic substances)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Hazardous to the aquatic environment – Acute Hazard, Category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damage.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7/16/2026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verveine et menthe poivrée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verveine et menthe poivrée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7/16/2026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1B9C938-BE59-48E8-B643-8892E5FEE703}"/>
</file>

<file path=customXml/itemProps3.xml><?xml version="1.0" encoding="utf-8"?>
<ds:datastoreItem xmlns:ds="http://schemas.openxmlformats.org/officeDocument/2006/customXml" ds:itemID="{7EADB864-A92D-4C43-8426-1AC847693AFF}"/>
</file>

<file path=customXml/itemProps4.xml><?xml version="1.0" encoding="utf-8"?>
<ds:datastoreItem xmlns:ds="http://schemas.openxmlformats.org/officeDocument/2006/customXml" ds:itemID="{2D65FFEA-CE80-4105-8CC4-32A5419CFE06}"/>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