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tomate et basilic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CINNAMAL, pin-2(10)-ene, isoeugenol, 2,4-dimethylcyclohex- 3-ene-1-carbaldehyde, EUGENOL, linalool.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Green. Floral.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tomate et basilic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tomate et basilic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isoeugenol ; 2,4-dimethylcyclohex-3-ene-1-carbaldehyde ; Eugenol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CINNAMAL, pin-2(10)-ene, isoeugenol, 2,4-dimethylcyclohex- 3-ene-1-carbaldehyde, EUGENOL, linalool.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tomate et basilic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tomate et basilic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6/11/2026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DC39875-ECD0-4A46-B955-6FEA16436412}"/>
</file>

<file path=customXml/itemProps3.xml><?xml version="1.0" encoding="utf-8"?>
<ds:datastoreItem xmlns:ds="http://schemas.openxmlformats.org/officeDocument/2006/customXml" ds:itemID="{A3619EF0-3720-4A95-ADD5-7063F6398CC2}"/>
</file>

<file path=customXml/itemProps4.xml><?xml version="1.0" encoding="utf-8"?>
<ds:datastoreItem xmlns:ds="http://schemas.openxmlformats.org/officeDocument/2006/customXml" ds:itemID="{B03B6FA4-70EC-42B7-9B61-3988F2A10078}"/>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