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thé glacé pêche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linalool, linalyl acetate, TETRAHYDROLINALOOL, citronellol, geranyl acetate.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105-87-3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3, H412</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Fruity. Floral.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bodyweight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geranyl acetate (105-87-3)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6330 mg/kg bodyweight Animal: rat, 95% CL: 5450 - 7340</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geranyl acetate (105-87-3)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bodyweight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thé glacé pêche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geranyl acetate (105-87-3)</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68.12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3.72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thé glacé pêche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geranyl acetate (105-87-3)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geranyl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linalool ; linalyl acetate ; 3,7-dimethyloctan-3-ol ; geranyl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Chronic Hazard, Category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linalool, linalyl acetate, TETRAHYDROLINALOOL, citronellol, geranyl acetate.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3/30/2026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3/30/2026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thé glacé pêche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thé glacé pêche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3/30/2026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348B602-07DB-4CC2-A6C7-C451BCC07730}"/>
</file>

<file path=customXml/itemProps3.xml><?xml version="1.0" encoding="utf-8"?>
<ds:datastoreItem xmlns:ds="http://schemas.openxmlformats.org/officeDocument/2006/customXml" ds:itemID="{C16455D8-B4B4-4714-BA46-FB1D62808D5C}"/>
</file>

<file path=customXml/itemProps4.xml><?xml version="1.0" encoding="utf-8"?>
<ds:datastoreItem xmlns:ds="http://schemas.openxmlformats.org/officeDocument/2006/customXml" ds:itemID="{48FC3274-05BB-4A06-AE65-5DF47EE8510F}"/>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