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thé chaï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Acétate de 4-tert-butylcyclohexyle; 1-(1,2,3,4,5,6,7,8-octahydro-2,3,8,8-tetramethyl-2-naphthyl)ethan-1-one; methyl cedryl ether; coumarin; cineole; alpha-iso-methylionone; cashmeran;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Tea.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bodyweight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bodyweight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bodyweight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bodyweight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600 mg/kg bodyweight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thé chaï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Acétate de 4-tert-butylcyclohexyle (32210-23-4)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thé chaï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Acétate de 4-tert-butylcyclohexyle (32210-23-4)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7/29/2026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7/29/2026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thé chaï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thé chaï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7/29/2026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8775C6E-6E16-4196-B210-C49BB5A413DE}"/>
</file>

<file path=customXml/itemProps3.xml><?xml version="1.0" encoding="utf-8"?>
<ds:datastoreItem xmlns:ds="http://schemas.openxmlformats.org/officeDocument/2006/customXml" ds:itemID="{1ED35D09-CA86-49F7-BBAA-B4166DADDDBB}"/>
</file>

<file path=customXml/itemProps4.xml><?xml version="1.0" encoding="utf-8"?>
<ds:datastoreItem xmlns:ds="http://schemas.openxmlformats.org/officeDocument/2006/customXml" ds:itemID="{E9655AC3-3434-4FF5-8C7A-F1EDA3A64A91}"/>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