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talco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piperonal, geraniol; (2E)-3,7-dimethylocta-2,6-dien-1-ol, hexyl salicylate, benzyl salicylate, coumarin, linalool, 3-methyl-4-(2,6,6-trimethyl-2-cyclohexen-1-yl)-3-buten-2-one.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bodyweight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talco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talco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piperonal, geraniol; (2E)-3,7-dimethylocta-2,6-dien-1-ol, hexyl salicylate, benzyl salicylate, coumarin, linalool, 3-methyl-4-(2,6,6-trimethyl-2-cyclohexen-1-yl)-3-buten-2-one.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talco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talco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92DC459-EF81-4A8F-A137-1BD401004547}"/>
</file>

<file path=customXml/itemProps3.xml><?xml version="1.0" encoding="utf-8"?>
<ds:datastoreItem xmlns:ds="http://schemas.openxmlformats.org/officeDocument/2006/customXml" ds:itemID="{6245283C-45D3-4148-B158-6AEA1F99373D}"/>
</file>

<file path=customXml/itemProps4.xml><?xml version="1.0" encoding="utf-8"?>
<ds:datastoreItem xmlns:ds="http://schemas.openxmlformats.org/officeDocument/2006/customXml" ds:itemID="{99F4900F-BC15-4CAA-9986-258F7E65BD6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