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rubis écarlate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Dispose of contents/container in ... (... in accordance with local/regional/national or international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benzyl alcohol, methyl atrarate.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bodyweight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bodyweight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bodyweight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rubis écarlate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rubis écarlate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benzyl alcohol, methyl atrarate.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rubis écarlate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rubis écarlate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4/30/2026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8DBC123-7CE0-4279-920C-4A7B97BA92E8}"/>
</file>

<file path=customXml/itemProps3.xml><?xml version="1.0" encoding="utf-8"?>
<ds:datastoreItem xmlns:ds="http://schemas.openxmlformats.org/officeDocument/2006/customXml" ds:itemID="{E32E2237-D85E-4A52-B213-E006CC1C6995}"/>
</file>

<file path=customXml/itemProps4.xml><?xml version="1.0" encoding="utf-8"?>
<ds:datastoreItem xmlns:ds="http://schemas.openxmlformats.org/officeDocument/2006/customXml" ds:itemID="{67274C86-8537-434B-8FC5-5394FDA10F7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