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romarin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Flammable solid. May cause an allergic skin reaction. 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cineole; 1-(1,2,3,4,5,6,7,8-octahydro-2,3,8,8-tetramethyl-2-naphthyl)ethan-1-one; pin-2(3)-ene; caryophyllene; d-limonene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470-82-6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2.582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camphene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79-92-5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201-234-8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Sol. 1, H228</w:t>
              <w:br/>
              <w:t>Eye Irrit. 2, H319</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pin-2(3)-ene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80-56-8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201-291-9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(Oral), H302 (ATE=500 mg/kg bodyweight)</w:t>
              <w:br/>
              <w:t>Skin Irrit. 2, H315</w:t>
              <w:br/>
              <w:t>Skin Sens. 1B, H317</w:t>
              <w:br/>
              <w:t>Asp. Tox. 1, H304</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caryophyllene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87-44-5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201-746-1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Asp. Tox. 1, H304</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Flammable solid.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No open flames, no sparks, and no smoking.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Mechanically recover the product. Notify authorities if product enters sewers or public waters.</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Keep away from heat, hot surfaces, sparks, open flames and other ignition sources. No smoking. Ground/bond container and receiving equipment.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sidR="00FA7F7F">
              <w:rPr>
                <w:noProof/>
              </w:rPr>
              <w:t>Ground/bond container and receiving equipment.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Keep cool. Protect from sunlight. Keep away from ignition sources.</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Rural. characteristic. Cedar.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Not available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sidRPr="0069446B">
        <w:rPr>
          <w:noProof/>
        </w:rPr>
        <w:t>Flammable solid.</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Avoid contact with hot surfaces. Heat. No flames, no sparks. Eliminate all sources of ignition.</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camphene (79-92-5)</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pin-2(3)-ene (80-56-8)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caryophyllene (87-44-5)</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&gt; 5000 mg/kg bodyweight Animal: mouse, Animal sex: male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cineole (470-82-6)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600 mg/kg bodyweight Animal: rat, Animal sex: female, Guideline: other:, Guideline: OECD Guideline 407 (Repeated Dose 28-Day Oral Toxicity Study in Rodents), Guideline: EPA OPPTS 870.3150 (90-Day Oral Toxicity in Non-rodents)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romarin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cineole (470-82-6)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57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&gt; 100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camphene (79-92-5)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0.72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0.72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1.75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pin-2(3)-ene (80-56-8)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0.303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0.475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caryophyllene (87-44-5)</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0.033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romarin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cineole (470-82-6)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camphene (79-92-5)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pin-2(3)-ene (80-56-8)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caryophyllene (87-44-5)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cineole ; pin-2(3)-ene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cineole ; pin-2(3)-ene ; caryophyllene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pin-2(3)-ene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Sol.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solids,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Flammable solid.</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romarin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romarin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4/20/2026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9CBB289-8FF9-4C7B-82ED-2EE2B3ED3A3A}"/>
</file>

<file path=customXml/itemProps3.xml><?xml version="1.0" encoding="utf-8"?>
<ds:datastoreItem xmlns:ds="http://schemas.openxmlformats.org/officeDocument/2006/customXml" ds:itemID="{665B1E4B-C200-4AFD-A839-B25F320BE7F3}"/>
</file>

<file path=customXml/itemProps4.xml><?xml version="1.0" encoding="utf-8"?>
<ds:datastoreItem xmlns:ds="http://schemas.openxmlformats.org/officeDocument/2006/customXml" ds:itemID="{FC7172A7-25F6-4E0D-9543-D4275CF04E3C}"/>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