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pomme cannelle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Professional use,Consumer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Fragrance composition (fragrance).</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Dispose of contents/container in ... (... in accordance with local/regional/national or international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1.2894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0.81781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bodyweight)</w:t>
              <w:br/>
              <w:t>Acute Tox. 3 (Dermal), H311 (ATE=820 mg/kg bodyweight)</w:t>
              <w:br/>
              <w:t>Acute Tox. 3 (Inhalation),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bodyweight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bodyweight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bodyweight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bodyweight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bodyweight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bodyweight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bodyweight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pomme cannelle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pomme cannelle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diethyl malonate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pomme cannelle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pomme cannelle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4/23/2026   Version: 2.0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D691925-E65A-4F94-8C5B-141AE282ADF6}"/>
</file>

<file path=customXml/itemProps3.xml><?xml version="1.0" encoding="utf-8"?>
<ds:datastoreItem xmlns:ds="http://schemas.openxmlformats.org/officeDocument/2006/customXml" ds:itemID="{32E7282A-8466-42C1-AC6D-0A97FB79A672}"/>
</file>

<file path=customXml/itemProps4.xml><?xml version="1.0" encoding="utf-8"?>
<ds:datastoreItem xmlns:ds="http://schemas.openxmlformats.org/officeDocument/2006/customXml" ds:itemID="{3A4ABB06-4A6E-4C11-9A91-BECD733EA0FC}"/>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