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pomme cannelle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Professional use,Consumer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Fragrance composition (fragrance).</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1A</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P103 - Read carefully and follow all instructions.</w:t>
              <w:br/>
              <w:t>P272 - Contaminated work clothing should not be allowed out of the workplace.</w:t>
              <w:br/>
              <w:t>P280 - Wear protective gloves/protective clothing/eye protection/face protection/hearing protection.</w:t>
              <w:br/>
              <w:t>P302+P352 - IF ON SKIN: Wash with plenty of water.</w:t>
              <w:br/>
              <w:t>P333+P313 - If skin irritation or rash occurs: Get medical advice/attention.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geraniol (106-24-1)(¹)</w:t>
            </w:r>
          </w:p>
        </w:tc>
      </w:tr>
    </w:tbl>
    <w:p w:rsidR="00526551" w:rsidRPr="0069446B" w:rsidP="00EF19FC" w14:paraId="74350A2B" w14:textId="69F88F63">
      <w:pPr>
        <w:pStyle w:val="SDSTextBlankLine"/>
      </w:pPr>
    </w:p>
    <w:tbl>
      <w:tblPr>
        <w:tblStyle w:val="SDSTableWithoutBorders"/>
        <w:tblW w:w="10489" w:type="dxa"/>
        <w:tblLayout w:type="fixed"/>
        <w:tblLook w:val="04A0"/>
      </w:tblPr>
      <w:tblGrid>
        <w:gridCol w:w="10489"/>
      </w:tblGrid>
      <w:tr w14:paraId="7FE4110C" w14:textId="77777777" w:rsidTr="00166900">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526551" w:rsidRPr="0069446B" w:rsidP="00166900" w14:paraId="37B6EE63" w14:textId="52443FAF">
            <w:pPr>
              <w:pStyle w:val="SDSTableTextNormal"/>
              <w:rPr>
                <w:noProof w:val="0"/>
              </w:rPr>
            </w:pPr>
            <w:r w:rsidRPr="0069446B">
              <w:rPr>
                <w:noProof/>
              </w:rPr>
              <w:t>(¹)</w:t>
            </w:r>
            <w:r w:rsidRPr="0069446B">
              <w:rPr>
                <w:noProof w:val="0"/>
              </w:rPr>
              <w:t xml:space="preserve"> </w:t>
            </w:r>
            <w:r>
              <w:rPr>
                <w:noProof/>
              </w:rPr>
              <w:t>Substance(s) in concentration below 0.1 % and displayed on a voluntary basis</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1.2894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0.81781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3-phenylpropan-1-ol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122-97-4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205-775-0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Corr. 1B, H314</w:t>
              <w:br/>
              <w:t>Eye Dam. 1, H318</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(ATE=280 mg/kg bodyweight)</w:t>
              <w:br/>
              <w:t>Acute Tox. 3 (Dermal), H311 (ATE=820 mg/kg bodyweight)</w:t>
              <w:br/>
              <w:t>Acute Tox. 3 (Inhalation), H331 (ATE=0.5 mg/l/4h)</w:t>
              <w:br/>
              <w:t>Aquatic Acute 1, H400</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106-29-6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203-381-3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enantate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106-30-9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203-382-9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(E)-1-(2,6,6-trimethyl-2-cyclohexen-1-yl)-2-buten-1-one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24720-09-0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246-430-4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Acute 1, H400</w:t>
              <w:br/>
              <w:t>Aquatic Chronic 2, H411</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bodyweight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bodyweight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butyrate (106-29-6)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10660 mg/kg bodyweight Animal: rat, Guideline: OECD Guideline 401 (Acute Oral Toxicity), 95% CL: 8020 - 14180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5000 mg/kg bodyweight Animal: rabbit,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bodyweight Animal: rat, Animal sex: male, Guideline: other:</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bodyweight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bodyweight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geranyl butyrate (106-29-6)</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7.4 Temp.: 22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cinnamyl alcohol (104-54-1)</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geranyl butyrate (106-29-6)</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7.4 Temp.: 22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cinnamyl alcohol (104-54-1)</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bodyweight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bodyweight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enantate (106-30-9)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pomme cannelle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2,4-dimethylcyclohex-3-ene-1-carbaldehyde (18479-58-8)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butyrate (106-29-6)</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97.3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3-phenylpropan-1-ol (122-97-4)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60.6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enantate (106-30-9)</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1.01 mg/l Test organisms (species): Danio rerio (previous name: Brachydanio rerio)</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0.44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0.202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pomme cannelle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(18479-58-8)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butyrate (106-29-6)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(E)-1-(2,6,6-trimethyl-2-cyclohexen-1-yl)-2-buten-1-one (24720-09-0)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3-phenylpropan-1-ol (122-97-4)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enantate (106-30-9)</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2,4-dimethylcyclohex-3-ene-1-carbaldehyde ; d-limonene ; 3-phenylpropan-1-ol ; geraniol ; diethyl malonate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2,4-dimethylcyclohex-3-ene-1-carbaldehyde ; d-limonene ; ethyl enantate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swallowed.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in contact with skin.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inhaled.</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pomme cannelle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Candle pomme cannelle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4/23/2026   Version: 2.0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2428500-0F0E-4932-8E3A-9251636EA0B1}"/>
</file>

<file path=customXml/itemProps3.xml><?xml version="1.0" encoding="utf-8"?>
<ds:datastoreItem xmlns:ds="http://schemas.openxmlformats.org/officeDocument/2006/customXml" ds:itemID="{C0D00735-3E8E-49B5-AA01-029276738232}"/>
</file>

<file path=customXml/itemProps4.xml><?xml version="1.0" encoding="utf-8"?>
<ds:datastoreItem xmlns:ds="http://schemas.openxmlformats.org/officeDocument/2006/customXml" ds:itemID="{507E6443-0305-40E3-8C4B-02F3EFB24CE1}"/>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