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cannelle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Professional use,Consumer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Fragrance composition (fragrance).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bodyweight)</w:t>
              <w:br/>
              <w:t>Acute Tox. 3 (Dermal), H311 (ATE=820 mg/kg bodyweight)</w:t>
              <w:br/>
              <w:t>Acute Tox. 3 (Inhalation),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bodyweight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bodyweight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bodyweight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bodyweight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pomme cannelle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cannelle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cannelle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pomme cannelle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4/23/2026   Version: 4.0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47E4379-A5EB-4AD1-8231-7FF8B6CEE817}"/>
</file>

<file path=customXml/itemProps3.xml><?xml version="1.0" encoding="utf-8"?>
<ds:datastoreItem xmlns:ds="http://schemas.openxmlformats.org/officeDocument/2006/customXml" ds:itemID="{E60E208A-797C-424F-8BFB-ABAA8368EBCC}"/>
</file>

<file path=customXml/itemProps4.xml><?xml version="1.0" encoding="utf-8"?>
<ds:datastoreItem xmlns:ds="http://schemas.openxmlformats.org/officeDocument/2006/customXml" ds:itemID="{156456AC-156E-4F61-9286-E6773FF9D3F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