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pistache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p w:rsidR="00827634" w:rsidRPr="0069446B" w:rsidP="009E5102" w14:paraId="29F388B8" w14:textId="4336E5B9">
      <w:pPr>
        <w:pStyle w:val="SDSTextNormal"/>
        <w:rPr>
          <w:noProof/>
        </w:rPr>
      </w:pPr>
      <w:r w:rsidRPr="0069446B">
        <w:rPr>
          <w:noProof/>
        </w:rPr>
        <w:t>Not classified</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Pr>
          <w:noProof/>
        </w:rPr>
        <w:t>To our knowledge, this product does not present any particular risk, provided it is handled in accordance with good occupational hygiene and safety practice.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BENZYL SALICYLATE, HELIOTROPINE, CITRAL, HELIOTROPINE, COUMARIN, HEXYL SALICYLATE, ISOAMYL SALICYLATE.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91-64-5</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0.649</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(Oral), H302 (ATE=500 mg/kg bodyweight)</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isopentyl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87-20-7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201-730-4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0.429</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204-262-9</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hexyl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6259-76-3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228-408-6</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607-772-00-3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H361d</w:t>
              <w:br/>
              <w:t>STOT RE Not classified</w:t>
              <w:br/>
              <w:t>Aquatic Acute 1, H400 (M=1)</w:t>
              <w:br/>
              <w:t>Aquatic Chronic 1, H410 (M=1)</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100-52-7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202-860-4</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605-012-00-5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bodyweight)</w:t>
              <w:br/>
              <w:t>Acute Tox. 4 (Inhalation), H332 (ATE=3 mg/l/4h)</w:t>
              <w:br/>
              <w:t>Skin Irrit. 2, H315</w:t>
              <w:br/>
              <w:t>Eye Irrit. 2, H319</w:t>
              <w:br/>
              <w:t>Repr. 2, H361</w:t>
              <w:br/>
              <w:t>STOT SE 3, H335</w:t>
              <w:br/>
              <w:t>Aquatic Chronic 2, H411</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piperonal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120-57-0</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204-409-7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5392-40-5</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226-394-6</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605-019-00-3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 H317</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piperonal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120-57-0</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204-409-7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Gourmand. Fruity. Vanilla.</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bodyweight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benzaldehyde (100-52-7)</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 1430 mg/kg bodyweight Animal: rat, Animal sex: male, Guideline: OECD Guideline 401 (Acute Oral Toxicity), 95% CL: 1,33 - 1,54</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2000 mg/kg bodyweight Animal: rabbit</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Inhalation -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1 – 5 mg/l air Animal: rat, Guideline: OECD Guideline 436 (Acute Inhalation Toxicity: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piperonal (120-57-0)</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2700 mg/kg bodyweight Animal: rat, Guideline: OECD Guideline 401 (Acute Oral Toxicity), 95% CL: 2350 - 3100</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5000 mg/kg bodyweight Animal: rat, Guideline: other:,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citral (5392-40-5)</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 6800 mg/kg bodyweight Animal: rat</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sidR="00FA7F7F">
              <w:rPr>
                <w:noProof/>
              </w:rPr>
              <w:t>&gt; 2000 mg/kg bodyweight Animal: rat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piperonal (120-57-0)</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2700 mg/kg bodyweight Animal: rat, Guideline: OECD Guideline 401 (Acute Oral Toxicity), 95% CL: 2350 - 3100</w:t>
            </w:r>
          </w:p>
        </w:tc>
      </w:tr>
      <w:tr w14:paraId="14A1065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5000 mg/kg bodyweight Animal: rat, Guideline: other:,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F"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bodyweight Animal: rat, Guideline: other:</w:t>
            </w:r>
          </w:p>
        </w:tc>
      </w:tr>
      <w:tr w14:paraId="14A1065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293 mg/kg bodyweight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0"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hexyl salicylate (6259-76-3)</w:t>
            </w:r>
          </w:p>
        </w:tc>
      </w:tr>
      <w:tr w14:paraId="02D6B5AE"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5000 mg/kg bodyweight Animal: rat, Guideline: OECD Guideline 401 (Acute Oral Toxicity)</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bodyweight Animal: rabbit,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isopentyl salicylate (87-20-7)</w:t>
            </w:r>
          </w:p>
        </w:tc>
      </w:tr>
      <w:tr w14:paraId="02D6B5AF"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1310 mg/kg bodyweight Animal: rat</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sidR="00FA7F7F">
              <w:rPr>
                <w:noProof/>
              </w:rPr>
              <w:t>1310 mg/kg bodyweight Animal:</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827634" w:rsidRPr="0069446B" w:rsidP="003E0104" w14:paraId="19EADB4D" w14:textId="0F48635D">
      <w:pPr>
        <w:pStyle w:val="SDSTextBlankLine"/>
      </w:pPr>
    </w:p>
    <w:tbl>
      <w:tblPr>
        <w:tblStyle w:val="SDSTableWithBordersWithHeaderRow"/>
        <w:tblW w:w="10489" w:type="dxa"/>
        <w:tblLayout w:type="fixed"/>
        <w:tblLook w:val="04A0"/>
      </w:tblPr>
      <w:tblGrid>
        <w:gridCol w:w="3969"/>
        <w:gridCol w:w="6520"/>
      </w:tblGrid>
      <w:tr w14:paraId="30ACEB5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61EBDDE8" w14:textId="3F55FECE">
            <w:pPr>
              <w:pStyle w:val="SDSTableTextHeading1"/>
              <w:rPr>
                <w:noProof w:val="0"/>
                <w:color w:val="auto"/>
              </w:rPr>
            </w:pPr>
            <w:r w:rsidRPr="0069446B" w:rsidR="00FA7F7F">
              <w:rPr>
                <w:noProof/>
                <w:color w:val="auto"/>
              </w:rPr>
              <w:t>citral (5392-40-5)</w:t>
            </w:r>
          </w:p>
        </w:tc>
      </w:tr>
      <w:tr w14:paraId="095C82A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4CC5AB0" w14:textId="28F4EB77">
            <w:pPr>
              <w:pStyle w:val="SDSTableTextNormal"/>
              <w:rPr>
                <w:noProof w:val="0"/>
              </w:rPr>
            </w:pPr>
            <w:r w:rsidRPr="0069446B" w:rsidR="00FA7F7F">
              <w:rPr>
                <w:noProof/>
              </w:rPr>
              <w:t>NOAEL (chronic, oral, animal/male, 2 years)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C01117" w14:textId="4F52C4C8">
            <w:pPr>
              <w:pStyle w:val="SDSTableTextNormal"/>
              <w:rPr>
                <w:noProof w:val="0"/>
              </w:rPr>
            </w:pPr>
            <w:r w:rsidRPr="0069446B">
              <w:rPr>
                <w:noProof/>
              </w:rPr>
              <w:t>60 mg/kg bodyweight Animal: mouse, Animal sex: male, Guideline: OECD Guideline 453 (Combined Chronic Toxicity / Carcinogenicity Studies)</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bodyweight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bodyweight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827634" w:rsidRPr="0069446B" w:rsidP="002B741C" w14:paraId="5A8DAD70" w14:textId="6BB7031E">
      <w:pPr>
        <w:pStyle w:val="SDSTextBlankLine"/>
      </w:pPr>
    </w:p>
    <w:tbl>
      <w:tblPr>
        <w:tblStyle w:val="SDSTableWithBordersWithHeaderRow"/>
        <w:tblW w:w="10489" w:type="dxa"/>
        <w:tblLayout w:type="fixed"/>
        <w:tblLook w:val="04A0"/>
      </w:tblPr>
      <w:tblGrid>
        <w:gridCol w:w="3969"/>
        <w:gridCol w:w="6520"/>
      </w:tblGrid>
      <w:tr w14:paraId="22761E3B"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08438C9D" w14:textId="1D4097E9">
            <w:pPr>
              <w:pStyle w:val="SDSTableTextHeading1"/>
              <w:rPr>
                <w:noProof w:val="0"/>
                <w:color w:val="auto"/>
              </w:rPr>
            </w:pPr>
            <w:r w:rsidRPr="0069446B" w:rsidR="00FA7F7F">
              <w:rPr>
                <w:noProof/>
                <w:color w:val="auto"/>
              </w:rPr>
              <w:t>benzaldehyde (100-52-7)</w:t>
            </w:r>
          </w:p>
        </w:tc>
      </w:tr>
      <w:tr w14:paraId="19C91D7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61F4F0F2" w14:textId="18B01BD1">
            <w:pPr>
              <w:pStyle w:val="SDSTableTextNormal"/>
              <w:rPr>
                <w:noProof w:val="0"/>
              </w:rPr>
            </w:pPr>
            <w:r w:rsidRPr="0069446B" w:rsidR="00FA7F7F">
              <w:rPr>
                <w:noProof/>
              </w:rPr>
              <w:t>STOT-single exposure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0CCC6EF3" w14:textId="581E3344">
            <w:pPr>
              <w:pStyle w:val="SDSTableTextNormal"/>
              <w:rPr>
                <w:noProof w:val="0"/>
                <w:lang w:val="fr-BE"/>
              </w:rPr>
            </w:pPr>
            <w:r w:rsidRPr="0069446B" w:rsidR="00FA7F7F">
              <w:rPr>
                <w:noProof/>
                <w:lang w:val="fr-BE"/>
              </w:rPr>
              <w:t>May cause respiratory irritation.</w:t>
            </w:r>
            <w:r w:rsidRPr="0069446B">
              <w:rPr>
                <w:noProof w:val="0"/>
                <w:lang w:val="fr-BE"/>
              </w:rPr>
              <w:t xml:space="preserve"> </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bodyweight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piperonal (120-57-0)</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300 mg/kg bodyweight Animal: rat, Guideline: OECD Guideline 422 (Combined Repeated Dose Toxicity Study with the Reproduction / Developmental Toxicity Screening Test),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citral (5392-40-5)</w:t>
            </w:r>
          </w:p>
        </w:tc>
      </w:tr>
      <w:tr w14:paraId="42A847A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F68F7FC" w14:textId="315015CF">
            <w:pPr>
              <w:pStyle w:val="SDSTableTextNormal"/>
              <w:rPr>
                <w:noProof w:val="0"/>
              </w:rPr>
            </w:pPr>
            <w:r w:rsidRPr="0069446B" w:rsidR="00FA7F7F">
              <w:rPr>
                <w:noProof/>
              </w:rPr>
              <w:t>LOAEC (inhalation, rat, gas,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8FE6653" w14:textId="5FF84CD9">
            <w:pPr>
              <w:pStyle w:val="SDSTableTextNormal"/>
              <w:rPr>
                <w:noProof w:val="0"/>
              </w:rPr>
            </w:pPr>
            <w:r w:rsidRPr="0069446B" w:rsidR="00FA7F7F">
              <w:rPr>
                <w:noProof/>
              </w:rPr>
              <w:t>68 ppm Animal: rat, Animal sex: female</w:t>
            </w:r>
          </w:p>
        </w:tc>
      </w:tr>
      <w:tr w14:paraId="07CBBCD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 mg/kg bodyweight Animal: rat, Guideline: OECD Guideline 453 (Combined Chronic Toxicity / Carcinogenicity Studies)</w:t>
            </w:r>
          </w:p>
        </w:tc>
      </w:tr>
      <w:tr w14:paraId="7DB1732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12186D5" w14:textId="59F51324">
            <w:pPr>
              <w:pStyle w:val="SDSTableTextNormal"/>
              <w:rPr>
                <w:noProof w:val="0"/>
                <w:lang w:val="de-DE"/>
              </w:rPr>
            </w:pPr>
            <w:r w:rsidRPr="0069446B" w:rsidR="00FA7F7F">
              <w:rPr>
                <w:noProof/>
                <w:lang w:val="de-DE"/>
              </w:rPr>
              <w:t>NOAEC (inhalation, rat, gas,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3E3E78EA" w14:textId="1918185F">
            <w:pPr>
              <w:pStyle w:val="SDSTableTextNormal"/>
              <w:rPr>
                <w:noProof w:val="0"/>
              </w:rPr>
            </w:pPr>
            <w:r w:rsidRPr="0069446B" w:rsidR="00FA7F7F">
              <w:rPr>
                <w:noProof/>
              </w:rPr>
              <w:t>34 ppm Animal: rat, Animal sex: female</w:t>
            </w:r>
          </w:p>
        </w:tc>
      </w:tr>
      <w:tr w14:paraId="6B0A5EE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7C20CFC" w14:textId="6F7047DD">
            <w:pPr>
              <w:pStyle w:val="SDSTableTextNormal"/>
              <w:rPr>
                <w:noProof w:val="0"/>
              </w:rPr>
            </w:pPr>
            <w:r w:rsidRPr="0069446B" w:rsidR="00FA7F7F">
              <w:rPr>
                <w:noProof/>
              </w:rPr>
              <w:t>NOAEL (subchronic, oral, animal/male,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A78E587" w14:textId="4F8C43C8">
            <w:pPr>
              <w:pStyle w:val="SDSTableTextNormal"/>
              <w:rPr>
                <w:noProof w:val="0"/>
              </w:rPr>
            </w:pPr>
            <w:r w:rsidRPr="0069446B">
              <w:rPr>
                <w:noProof/>
              </w:rPr>
              <w:t>60 mg/kg bodyweight Animal: mouse, Animal sex: male, Guideline: OECD Guideline 453 (Combined Chronic Toxicity / Carcinogenicity Studies)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piperonal (120-57-0)</w:t>
            </w:r>
          </w:p>
        </w:tc>
      </w:tr>
      <w:tr w14:paraId="07CBBCD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300 mg/kg bodyweight Animal: rat, Guideline: OECD Guideline 422 (Combined Repeated Dose Toxicity Study with the Reproduction / Developmental Toxicity Screening Test),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sidR="00FA7F7F">
              <w:rPr>
                <w:noProof/>
              </w:rPr>
              <w:t>NOAEL (subchronic, oral, animal/female,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bodyweight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E"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hexyl salicylate (6259-76-3)</w:t>
            </w:r>
          </w:p>
        </w:tc>
      </w:tr>
      <w:tr w14:paraId="07CBBCD9"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sidR="00FA7F7F">
              <w:rPr>
                <w:noProof/>
                <w:lang w:val="fr-BE"/>
              </w:rPr>
              <w:t>46.9 mg/kg bodyweight Animal: rat</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(inhalation, rat, dust/mist/fume,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0.249 mg/l air Animal: rat, Guideline: OECD Guideline 412 (Subacute Inhalation Toxicity: 28-Day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pistache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The product is not considered harmful to aquatic organisms nor to cause long-term adverse effects in the environment.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Not classified (Based on available data, the classification criteria are not met)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benzaldehyde (100-52-7)</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33.1 mg/l Test organisms (species): Raphidocelis subcapitata (previous names: Pseudokirchneriella subcapitata, Selenastrum capricornutum)</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8.05 mg/l Test organisms (species): Raphidocelis subcapitata (previous names: Pseudokirchneriella subcapitata, Selenastrum capricornutum)</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0.12 mg/l Test organisms (species): Pimephales promelas Duration: '7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piperonal (120-57-0)</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2.5 mg/l Test organisms (species): Cyprinus carpio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52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31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6.8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citral (5392-40-5)</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6.78 mg/l Test organisms (species): Leuciscus idus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6.8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103.8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piperonal (120-57-0)</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2.5 mg/l Test organisms (species): Cyprinus carpio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52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31 mg/l Test organisms (species): Raphidocelis subcapitata (previous names: Pseudokirchneriella subcapitata, Selenastrum capricornutum)</w:t>
            </w:r>
          </w:p>
        </w:tc>
      </w:tr>
      <w:tr w14:paraId="14947BF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6.8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hexyl salicylate (6259-76-3)</w:t>
            </w:r>
          </w:p>
        </w:tc>
      </w:tr>
      <w:tr w14:paraId="758D634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0.357 mg/l Test organisms (species): Daphnia magna</w:t>
            </w:r>
          </w:p>
        </w:tc>
      </w:tr>
      <w:tr w14:paraId="66FAA36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0.61 mg/l Test organisms (species): Desmodesmus subspicatus (previous name: Scenedesmus subspicatus)</w:t>
            </w:r>
          </w:p>
        </w:tc>
      </w:tr>
      <w:tr w14:paraId="14947BF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isopentyl salicylate (87-20-7)</w:t>
            </w:r>
          </w:p>
        </w:tc>
      </w:tr>
      <w:tr w14:paraId="758D63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6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1.12 mg/l Test organisms (species): Raphidocelis subcapitata (previous names: Pseudokirchneriella subcapitata, Selenastrum capricornutum)</w:t>
            </w:r>
          </w:p>
        </w:tc>
      </w:tr>
      <w:tr w14:paraId="14947BF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0.298 mg/l Test organisms (species): Raphidocelis subcapitata (previous names: Pseudokirchneriella subcapitata, Selenastrum capricornutum)</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pistache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benzaldehyde (100-52-7)</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piperonal (120-57-0)</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citral (5392-40-5)</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piperonal (120-57-0)</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hexyl salicylate (6259-76-3)</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isopentyl salicylate (87-20-7)</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benzaldehyde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benzyl salicylate ; benzaldehyde ; citral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substance(s) listed on the Drug Precursors list (Regulation EC 273/2004 on the manufacture and the placing on market of certain substances used in the illicit manufacture of narcotic drugs and psychotropic substances)</w:t>
            </w:r>
          </w:p>
        </w:tc>
      </w:tr>
    </w:tbl>
    <w:tbl>
      <w:tblPr>
        <w:tblStyle w:val="SDSTableWithBordersWithHeaderRow"/>
        <w:tblW w:w="10490" w:type="dxa"/>
        <w:tblLayout w:type="fixed"/>
        <w:tblLook w:val="04A0"/>
      </w:tblPr>
      <w:tblGrid>
        <w:gridCol w:w="2267"/>
        <w:gridCol w:w="1275"/>
        <w:gridCol w:w="1276"/>
        <w:gridCol w:w="1418"/>
        <w:gridCol w:w="1418"/>
        <w:gridCol w:w="1418"/>
        <w:gridCol w:w="1418"/>
      </w:tblGrid>
      <w:tr w14:paraId="0B83201E" w14:textId="77777777" w:rsidTr="005C557D">
        <w:tblPrEx>
          <w:tblW w:w="10490" w:type="dxa"/>
          <w:tblLayout w:type="fixed"/>
          <w:tblLook w:val="04A0"/>
        </w:tblPrEx>
        <w:trPr>
          <w:tblHeader/>
        </w:trPr>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0D104D90" w14:textId="15A02BD9">
            <w:pPr>
              <w:pStyle w:val="SDSTableTextHeading1"/>
              <w:rPr>
                <w:noProof w:val="0"/>
                <w:color w:val="auto"/>
              </w:rPr>
            </w:pPr>
            <w:r w:rsidRPr="0069446B" w:rsidR="00FA7F7F">
              <w:rPr>
                <w:noProof/>
                <w:color w:val="auto"/>
              </w:rPr>
              <w:t>Name</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57C5252" w14:textId="5225E603">
            <w:pPr>
              <w:pStyle w:val="SDSTableTextHeading1"/>
              <w:rPr>
                <w:noProof w:val="0"/>
                <w:color w:val="auto"/>
              </w:rPr>
            </w:pPr>
            <w:r w:rsidRPr="0069446B" w:rsidR="00FA7F7F">
              <w:rPr>
                <w:noProof/>
                <w:color w:val="auto"/>
              </w:rPr>
              <w:t>CN designation</w:t>
            </w: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D6EF8CB" w14:textId="6606C847">
            <w:pPr>
              <w:pStyle w:val="SDSTableTextHeading1"/>
              <w:rPr>
                <w:noProof w:val="0"/>
                <w:color w:val="auto"/>
              </w:rPr>
            </w:pPr>
            <w:r w:rsidRPr="0069446B" w:rsidR="00FA7F7F">
              <w:rPr>
                <w:noProof/>
                <w:color w:val="auto"/>
              </w:rPr>
              <w:t>CAS-No.</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54B57E4" w14:textId="78E35A93">
            <w:pPr>
              <w:pStyle w:val="SDSTableTextHeading1"/>
              <w:rPr>
                <w:noProof w:val="0"/>
                <w:color w:val="auto"/>
              </w:rPr>
            </w:pPr>
            <w:r w:rsidRPr="0069446B" w:rsidR="00FA7F7F">
              <w:rPr>
                <w:noProof/>
                <w:color w:val="auto"/>
              </w:rPr>
              <w:t>CN code</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96366" w:rsidRPr="0069446B" w:rsidP="00E96366" w14:paraId="53D256F7" w14:textId="6CCA77A9">
            <w:pPr>
              <w:pStyle w:val="SDSTableTextHeading1"/>
              <w:rPr>
                <w:noProof w:val="0"/>
                <w:color w:val="auto"/>
              </w:rPr>
            </w:pPr>
            <w:r w:rsidRPr="0069446B" w:rsidR="00FA7F7F">
              <w:rPr>
                <w:noProof/>
                <w:color w:val="auto"/>
              </w:rPr>
              <w:t>Category,</w:t>
            </w:r>
          </w:p>
          <w:p w:rsidR="00A65092" w:rsidRPr="0069446B" w:rsidP="00E96366" w14:paraId="26779EFF" w14:textId="63E11907">
            <w:pPr>
              <w:pStyle w:val="SDSTableTextHeading1"/>
              <w:rPr>
                <w:noProof w:val="0"/>
                <w:color w:val="auto"/>
              </w:rPr>
            </w:pPr>
            <w:r w:rsidRPr="0069446B" w:rsidR="00FA7F7F">
              <w:rPr>
                <w:noProof/>
                <w:color w:val="auto"/>
              </w:rPr>
              <w:t>Subcategory</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61B55F5" w14:textId="24B2F796">
            <w:pPr>
              <w:pStyle w:val="SDSTableTextHeading1"/>
              <w:rPr>
                <w:noProof w:val="0"/>
                <w:color w:val="auto"/>
              </w:rPr>
            </w:pPr>
            <w:r w:rsidRPr="0069446B" w:rsidR="00FA7F7F">
              <w:rPr>
                <w:noProof/>
                <w:color w:val="auto"/>
              </w:rPr>
              <w:t>Threshold</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1BD701E" w14:textId="65E28E50">
            <w:pPr>
              <w:pStyle w:val="SDSTableTextHeading1"/>
              <w:rPr>
                <w:noProof w:val="0"/>
                <w:color w:val="auto"/>
              </w:rPr>
            </w:pPr>
            <w:r w:rsidRPr="0069446B" w:rsidR="00FA7F7F">
              <w:rPr>
                <w:noProof/>
                <w:color w:val="auto"/>
              </w:rPr>
              <w:t>Annex</w:t>
            </w:r>
          </w:p>
        </w:tc>
      </w:tr>
      <w:tr w14:paraId="23D538E0" w14:textId="77777777" w:rsidTr="005C557D">
        <w:tblPrEx>
          <w:tblW w:w="10490" w:type="dxa"/>
          <w:tblLayout w:type="fixed"/>
          <w:tblLook w:val="04A0"/>
        </w:tblPrEx>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073E40F" w14:textId="559D260D">
            <w:pPr>
              <w:pStyle w:val="SDSTableTextNormal"/>
              <w:rPr>
                <w:noProof w:val="0"/>
              </w:rPr>
            </w:pPr>
            <w:r w:rsidRPr="0069446B" w:rsidR="00FA7F7F">
              <w:rPr>
                <w:noProof/>
              </w:rPr>
              <w:t>Piperonal</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900E007" w14:textId="26A7BDBB">
            <w:pPr>
              <w:pStyle w:val="SDSTableTextNormal"/>
              <w:rPr>
                <w:noProof w:val="0"/>
              </w:rPr>
            </w:pP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19F3871" w14:textId="44E22305">
            <w:pPr>
              <w:pStyle w:val="SDSTableTextNormal"/>
              <w:rPr>
                <w:noProof w:val="0"/>
              </w:rPr>
            </w:pPr>
            <w:r w:rsidRPr="0069446B" w:rsidR="00FA7F7F">
              <w:rPr>
                <w:noProof/>
              </w:rPr>
              <w:t>120-57-0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04454755" w14:textId="57B7AB29">
            <w:pPr>
              <w:pStyle w:val="SDSTableTextNormal"/>
              <w:rPr>
                <w:noProof w:val="0"/>
              </w:rPr>
            </w:pPr>
            <w:r w:rsidRPr="0069446B" w:rsidR="00FA7F7F">
              <w:rPr>
                <w:noProof/>
              </w:rPr>
              <w:t>2932 93 00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0CE3A27" w14:textId="126BB867">
            <w:pPr>
              <w:pStyle w:val="SDSTableTextNormal"/>
              <w:rPr>
                <w:noProof w:val="0"/>
              </w:rPr>
            </w:pPr>
            <w:r w:rsidRPr="0069446B" w:rsidR="00FA7F7F">
              <w:rPr>
                <w:noProof/>
              </w:rPr>
              <w:t>Category 1</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99E5CD" w14:textId="1DED112B">
            <w:pPr>
              <w:pStyle w:val="SDSTableTextNormal"/>
              <w:rPr>
                <w:noProof w:val="0"/>
              </w:rPr>
            </w:pP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511B839" w14:textId="55BB0BAA">
            <w:pPr>
              <w:pStyle w:val="SDSTableTextNormal"/>
              <w:rPr>
                <w:noProof w:val="0"/>
              </w:rPr>
            </w:pPr>
            <w:r w:rsidRPr="0069446B" w:rsidR="00FA7F7F">
              <w:rPr>
                <w:noProof/>
              </w:rPr>
              <w:t>Annex I</w:t>
            </w:r>
          </w:p>
        </w:tc>
      </w:tr>
      <w:tr w14:paraId="23D538E1" w14:textId="77777777" w:rsidTr="005C557D">
        <w:tblPrEx>
          <w:tblW w:w="10490" w:type="dxa"/>
          <w:tblLayout w:type="fixed"/>
          <w:tblLook w:val="04A0"/>
        </w:tblPrEx>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59D260D">
            <w:pPr>
              <w:pStyle w:val="SDSTableTextNormal"/>
              <w:rPr>
                <w:noProof w:val="0"/>
              </w:rPr>
            </w:pPr>
            <w:r w:rsidRPr="0069446B" w:rsidR="00FA7F7F">
              <w:rPr>
                <w:noProof/>
              </w:rPr>
              <w:t>Piperonal</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26A7BDBB">
            <w:pPr>
              <w:pStyle w:val="SDSTableTextNormal"/>
              <w:rPr>
                <w:noProof w:val="0"/>
              </w:rPr>
            </w:pP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44E22305">
            <w:pPr>
              <w:pStyle w:val="SDSTableTextNormal"/>
              <w:rPr>
                <w:noProof w:val="0"/>
              </w:rPr>
            </w:pPr>
            <w:r w:rsidRPr="0069446B" w:rsidR="00FA7F7F">
              <w:rPr>
                <w:noProof/>
              </w:rPr>
              <w:t>120-57-0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7B7AB29">
            <w:pPr>
              <w:pStyle w:val="SDSTableTextNormal"/>
              <w:rPr>
                <w:noProof w:val="0"/>
              </w:rPr>
            </w:pPr>
            <w:r w:rsidRPr="0069446B" w:rsidR="00FA7F7F">
              <w:rPr>
                <w:noProof/>
              </w:rPr>
              <w:t>2932 93 00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126BB867">
            <w:pPr>
              <w:pStyle w:val="SDSTableTextNormal"/>
              <w:rPr>
                <w:noProof w:val="0"/>
              </w:rPr>
            </w:pPr>
            <w:r w:rsidRPr="0069446B" w:rsidR="00FA7F7F">
              <w:rPr>
                <w:noProof/>
              </w:rPr>
              <w:t>Category 1</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1DED112B">
            <w:pPr>
              <w:pStyle w:val="SDSTableTextNormal"/>
              <w:rPr>
                <w:noProof w:val="0"/>
              </w:rPr>
            </w:pP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5BB0BAA">
            <w:pPr>
              <w:pStyle w:val="SDSTableTextNormal"/>
              <w:rPr>
                <w:noProof w:val="0"/>
              </w:rPr>
            </w:pPr>
            <w:r w:rsidRPr="0069446B" w:rsidR="00FA7F7F">
              <w:rPr>
                <w:noProof/>
              </w:rPr>
              <w:t>Annex I</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(Inhalation)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Acute toxicity (inhal.), Category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Acute toxicity (oral), Category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Acute Hazard, Category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2</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Serious eye damage/eye irritation, Category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Repr.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Reproductive toxicity, Category 2</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corrosion/irritation, Category 2</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STOT RE Not classified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Specific target organ toxicity (repeated exposure) Not classified</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STOT SE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Specific target organ toxicity – Single exposure, Category 3, Respiratory tract irritation</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swallowed.</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skin irritation.</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serious eye irritation.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inhaled.</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respiratory irritation.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Suspected of damaging fertility or the unborn child.</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Suspected of damaging the unborn child.</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 with long lasting effects.</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Toxic to aquatic life with long lasting effects.</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BENZYL SALICYLATE, HELIOTROPINE, CITRAL, HELIOTROPINE, COUMARIN, HEXYL SALICYLATE, ISOAMYL SALICYLATE. May produce an allergic reaction.</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8/12/2026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13</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8/12/2026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pistache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pistache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8/12/2026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52051A04-C0E6-4D88-824F-18E62BBFC6B2}"/>
</file>

<file path=customXml/itemProps3.xml><?xml version="1.0" encoding="utf-8"?>
<ds:datastoreItem xmlns:ds="http://schemas.openxmlformats.org/officeDocument/2006/customXml" ds:itemID="{274CEC2E-BB66-4750-8644-D99072EF27C6}"/>
</file>

<file path=customXml/itemProps4.xml><?xml version="1.0" encoding="utf-8"?>
<ds:datastoreItem xmlns:ds="http://schemas.openxmlformats.org/officeDocument/2006/customXml" ds:itemID="{66BF246A-6704-4782-916C-8CC2F4F1F923}"/>
</file>

<file path=docProps/app.xml><?xml version="1.0" encoding="utf-8"?>
<Properties xmlns="http://schemas.openxmlformats.org/officeDocument/2006/extended-properties" xmlns:vt="http://schemas.openxmlformats.org/officeDocument/2006/docPropsVTypes">
  <Template>Normal</Template>
  <TotalTime>219</TotalTime>
  <Pages>13</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