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pinacolada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LIMONENE, ALLYL CYCLOHEXYLPROPIONATE.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bodyweight)</w:t>
              <w:br/>
              <w:t>Acute Tox. 3 (Dermal), H311 (ATE=300 mg/kg bodyweight)</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Sens. 1,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coconut. Hesperidaceae.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bodyweight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bodyweight Animal: guinea pig, Guideline: OECD Guideline 401 (Acute Oral Toxicity), 95% CL: 172 - 834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1600 mg/kg bodyweight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pinacolada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pinacolada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acetate (8007-35-0)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(dermal),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swallowed.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in contact with skin.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LIMONENE, ALLYL CYCLOHEXYLPROPIONATE.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pinacolada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pinacolada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5238663-F130-4623-9433-5F2EB08FD02E}"/>
</file>

<file path=customXml/itemProps3.xml><?xml version="1.0" encoding="utf-8"?>
<ds:datastoreItem xmlns:ds="http://schemas.openxmlformats.org/officeDocument/2006/customXml" ds:itemID="{6C6FA5B2-F440-4D28-A66D-65BBBD050C82}"/>
</file>

<file path=customXml/itemProps4.xml><?xml version="1.0" encoding="utf-8"?>
<ds:datastoreItem xmlns:ds="http://schemas.openxmlformats.org/officeDocument/2006/customXml" ds:itemID="{03DEA3DB-DDF8-4987-B124-BF4A4EF680A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