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nuances de noir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cyclamen aldehyde, ROSE KETONE-3. May produce an allergic reaction.</w:t>
              <w:br/>
              <w:t>EUH210 - Safety data sheet available on request.</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103-95-7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Cyprus. Floral. Leather.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cyclamen aldehyde (103-95-7)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 5000 mg/kg bodyweight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sidR="00FA7F7F">
              <w:rPr>
                <w:noProof/>
              </w:rPr>
              <w:t>&gt; 5000 mg/kg bodyweight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bodyweight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bodyweight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nuances de noir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cyclamen aldehyde (103-95-7)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nuances de noir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cyclamen aldehyde (103-95-7)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Acute Hazard, Category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 with long lasting effects.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cyclamen aldehyde, ROSE KETONE-3. May produce an allergic reaction.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Safety data sheet available on request.</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6/2/2026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nuances de noir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nuances de noir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6/2/2026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33C5B83-0C3F-43DA-A83C-ADA347217D7C}"/>
</file>

<file path=customXml/itemProps3.xml><?xml version="1.0" encoding="utf-8"?>
<ds:datastoreItem xmlns:ds="http://schemas.openxmlformats.org/officeDocument/2006/customXml" ds:itemID="{4A015077-6FAB-4614-9907-A43E45D72077}"/>
</file>

<file path=customXml/itemProps4.xml><?xml version="1.0" encoding="utf-8"?>
<ds:datastoreItem xmlns:ds="http://schemas.openxmlformats.org/officeDocument/2006/customXml" ds:itemID="{61F5ACFB-E2EB-4326-AA91-0BC7A48B03BD}"/>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