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noble oud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methyl palmitate; α-hexylcinnamaldehyde; benzyl salicylate; 1-(1,2,3,4,5,6,7,8-octahydro-2,3,8,8-tetramethyl-2-naphthyl)ethan-1-one; 4-tert-butylcyclohexyl acetate;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Dispose of contents/container in ... (... in accordance with local/regional/national or international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1.2383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palmitate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112-39-0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Spicy. Leather. Woody. Oriental. balsamic.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palmitate (112-39-0)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bodyweight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noble oud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methyl palmitate (112-39-0)</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4.4 mm²/s Temp.: '40°C'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palmitate (112-39-0)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550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0.02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&gt; 0.22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&gt; 0.22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noble oud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palmitate (112-39-0)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noble oud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noble oud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4/27/2026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A59BAB4-E11A-481C-AD5D-62627C9B1CCD}"/>
</file>

<file path=customXml/itemProps3.xml><?xml version="1.0" encoding="utf-8"?>
<ds:datastoreItem xmlns:ds="http://schemas.openxmlformats.org/officeDocument/2006/customXml" ds:itemID="{F95F415D-F654-469F-BBC9-326841A78ECE}"/>
</file>

<file path=customXml/itemProps4.xml><?xml version="1.0" encoding="utf-8"?>
<ds:datastoreItem xmlns:ds="http://schemas.openxmlformats.org/officeDocument/2006/customXml" ds:itemID="{0785C402-2A0A-42B0-9E5B-95FEBC7FFE0E}"/>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