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nectar d'abricot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br/>
              <w:t>P273 - Avoid release to the environment.</w:t>
              <w:br/>
              <w:t>P302+P352 - IF ON SKIN: Wash with plenty of water.</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Green.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bodyweight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(chronic, oral, animal/female,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bodyweight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nectar d'abricot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nectar d'abricot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nectar d'abricot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nectar d'abricot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6/29/2026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1A086A4-1CAF-4F88-AAC8-4129F9015E02}"/>
</file>

<file path=customXml/itemProps3.xml><?xml version="1.0" encoding="utf-8"?>
<ds:datastoreItem xmlns:ds="http://schemas.openxmlformats.org/officeDocument/2006/customXml" ds:itemID="{DD5270EC-1D06-4EB4-8233-CED8652514D5}"/>
</file>

<file path=customXml/itemProps4.xml><?xml version="1.0" encoding="utf-8"?>
<ds:datastoreItem xmlns:ds="http://schemas.openxmlformats.org/officeDocument/2006/customXml" ds:itemID="{AA73C98B-817B-4B8E-90BE-A5CCCE336D1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