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pêche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linalool; linalyl acetate; geraniol; α-hexylcinnamaldehyde; hexyl salicylate; acetyl cedrene; 3,7,11-trimethyldodeca-1,6,10-trien-3-ol,mixed isomers; benzyl salicylate; isoeugenol; cis-4-(isopropyl)cyclohexanemethanol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Orange.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bodyweight Animal: rat, Guideline: EU Method B.1 (Acute Toxicity (Oral)),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bodyweight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bodyweight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pêche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pêche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geraniol ; hexyl salicylate ; acetyl cedrene ; 3,7,11-trimethyldodeca-1,6,10-trien-3-ol,mixed isomers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pêche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pêche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675F55A-44D5-4B47-B384-BA2630D3A500}"/>
</file>

<file path=customXml/itemProps3.xml><?xml version="1.0" encoding="utf-8"?>
<ds:datastoreItem xmlns:ds="http://schemas.openxmlformats.org/officeDocument/2006/customXml" ds:itemID="{80AC3D09-DD62-4907-B3D4-47725A20431A}"/>
</file>

<file path=customXml/itemProps4.xml><?xml version="1.0" encoding="utf-8"?>
<ds:datastoreItem xmlns:ds="http://schemas.openxmlformats.org/officeDocument/2006/customXml" ds:itemID="{7AAFB926-8061-4DEB-8AB7-1627838CFC30}"/>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