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menthe poivrée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trans-menthone; isomenthone; d-limonene; alpha-pinene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L-menthol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2216-51-5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218-690-9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trans-menthone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89-80-5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201-941-1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1.633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(ATE=1500 mg/kg bodyweight)</w:t>
              <w:br/>
              <w:t>Skin Irrit. 2, H315</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491-07-6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207-727-4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(Inhalation), H332</w:t>
              <w:br/>
              <w:t>Skin Irrit. 2, H315</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alpha-pinene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(Oral), H302 (ATE=500 mg/kg bodyweight)</w:t>
              <w:br/>
              <w:t>Skin Irrit. 2, H315</w:t>
              <w:br/>
              <w:t>Skin Sens. 1, H317</w:t>
              <w:br/>
              <w:t>Asp. Tox. 1, H304</w:t>
              <w:br/>
              <w:t>Aquatic Acute 1, H400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Mint.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L-menthol (2216-51-5)</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5.289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trans-menthone (89-80-5)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mg/kg bodyweight Animal: mouse, Guideline: other:</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bodyweight Animal: rabbit,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alpha-pinene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trans-menthone (89-80-5)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3.78 Temp.: 26,5 °C</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trans-menthone (89-80-5)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3.78 Temp.: 26,5 °C</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trans-menthone (89-80-5)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800 mg/kg bodyweight Animal: rat, Animal sex: male,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671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L-menthol (2216-51-5)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&gt; 375 mg/kg bodyweight Animal: rat,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menthe poivrée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L-menthol (2216-51-5)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15.6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26.6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20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21.4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trans-menthone (89-80-5)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20.973 mg/l Test organisms (species): other:</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13 mg/l Test organisms (species): Pimephales promelas</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2.5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70 mg/l Test organisms (species): other:</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13.399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alpha-pinene (80-56-8)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menthe poivrée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L-menthol (2216-51-5)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trans-menthone (89-80-5)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isomenthone (491-07-6)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alpha-pinene (80-56-8)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 ; alpha-pinene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trans-menthone ; d-limonene ; alpha-pinene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d-limonene ; alpha-pinene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5/19/2026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5/19/2026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menthe poivrée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menthe poivrée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5/19/2026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6A6E714-1D4F-4719-AC85-42367D77268A}"/>
</file>

<file path=customXml/itemProps3.xml><?xml version="1.0" encoding="utf-8"?>
<ds:datastoreItem xmlns:ds="http://schemas.openxmlformats.org/officeDocument/2006/customXml" ds:itemID="{648552C9-24E1-42A4-AF4C-AEF91A546AAB}"/>
</file>

<file path=customXml/itemProps4.xml><?xml version="1.0" encoding="utf-8"?>
<ds:datastoreItem xmlns:ds="http://schemas.openxmlformats.org/officeDocument/2006/customXml" ds:itemID="{57162B3D-C34B-4327-B9C8-39AA2E6924B0}"/>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