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menthe citronnée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p w:rsidR="00827634" w:rsidRPr="0069446B" w:rsidP="009E5102" w14:paraId="29F388B8" w14:textId="4336E5B9">
      <w:pPr>
        <w:pStyle w:val="SDSTextNormal"/>
        <w:rPr>
          <w:noProof/>
        </w:rPr>
      </w:pPr>
      <w:r w:rsidRPr="0069446B">
        <w:rPr>
          <w:noProof/>
        </w:rPr>
        <w:t>Not classified</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2,4-dimethylcyclohex- 3-ene-1-carbaldehyde, citral, carvone (ISO); 2-methyl-5-(prop-1-en-2-yl)cyclohex-2-en-1-one, MENTHONE.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trans-menthone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89-80-5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201-941-1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(ATE=1500 mg/kg bodyweight)</w:t>
              <w:br/>
              <w:t>Skin Irrit. 2, H315</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Mint. Hesperidaceae.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trans-menthone (89-80-5)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mg/kg bodyweight Animal: mouse, Guideline: other:</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bodyweight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trans-menthone (89-80-5)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3.78 Temp.: 26,5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trans-menthone (89-80-5)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3.78 Temp.: 26,5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trans-menthone (89-80-5)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800 mg/kg bodyweight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671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menthe citronnée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trans-menthone (89-80-5)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20.973 mg/l Test organisms (species): other:</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13 mg/l Test organisms (species): Pimephales promelas</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2.5 mg/l Test organisms (species): other:</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70 mg/l Test organisms (species): other:</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13.399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menthe citronnée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trans-menthone (89-80-5)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 ; trans-menthone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2,4-dimethylcyclohex- 3-ene-1-carbaldehyde, citral, carvone (ISO); 2-methyl-5-(prop-1-en-2-yl)cyclohex-2-en-1-one, MENTHONE. May produce an allergic reaction.</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6/5/2026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menthe citronnée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menthe citronnée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6/5/2026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2DEDEA5-1CEA-475E-950B-02A76D95B304}"/>
</file>

<file path=customXml/itemProps3.xml><?xml version="1.0" encoding="utf-8"?>
<ds:datastoreItem xmlns:ds="http://schemas.openxmlformats.org/officeDocument/2006/customXml" ds:itemID="{616D160D-8D0A-4A4C-82B4-D960B7F76BFD}"/>
</file>

<file path=customXml/itemProps4.xml><?xml version="1.0" encoding="utf-8"?>
<ds:datastoreItem xmlns:ds="http://schemas.openxmlformats.org/officeDocument/2006/customXml" ds:itemID="{39ABB1FB-2B12-4F48-9D9D-35A7B7E582AB}"/>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