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menthe chlorophyle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l-carvone; (5R)-2-methyl-5- (prop-1-en-2-yl)cyclohex-2-en- 1-one.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Mint. Fresh.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menthe chlorophyle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menthe chlorophyle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Skin sensitisation, category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l-carvone; (5R)-2-methyl-5- (prop-1-en-2-yl)cyclohex-2-en- 1-one.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menthe chlorophyle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menthe chlorophyle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979AA4-66E8-40D1-9392-F6A870A12765}"/>
</file>

<file path=customXml/itemProps3.xml><?xml version="1.0" encoding="utf-8"?>
<ds:datastoreItem xmlns:ds="http://schemas.openxmlformats.org/officeDocument/2006/customXml" ds:itemID="{293545A2-0F38-477B-BAC9-8E1AF4B6473F}"/>
</file>

<file path=customXml/itemProps4.xml><?xml version="1.0" encoding="utf-8"?>
<ds:datastoreItem xmlns:ds="http://schemas.openxmlformats.org/officeDocument/2006/customXml" ds:itemID="{D1226440-0679-40AF-AD3D-C3A9E15A5C38}"/>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