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lotus blanc et coton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2-benzylideneheptanal; 3,7-dimethyloctan-3-ol; cinnamaldehyde; 1-(1,2,3,4,5,6,7,8-octahydro-2,3,8,8-tetramethyl-2-naphthyl)ethan-1-one; 4-tert-butylcyclohexyl acetate; linalool; coumarin; isoeugenol;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 Musk.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2-benzylideneheptanal (122-40-7)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3730 mg/kg bodyweight Animal: rat, Guideline: OECD Guideline 401 (Acute Oral Toxicity), 95% CL: 3190 - 4370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2-benzylideneheptanal (122-40-7)</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78B4B17E">
      <w:pPr>
        <w:pStyle w:val="SDSTextBlankLine"/>
      </w:pPr>
    </w:p>
    <w:tbl>
      <w:tblPr>
        <w:tblStyle w:val="SDSTableWithBordersWithHeaderRow"/>
        <w:tblW w:w="10489" w:type="dxa"/>
        <w:tblLayout w:type="fixed"/>
        <w:tblLook w:val="0020"/>
      </w:tblPr>
      <w:tblGrid>
        <w:gridCol w:w="3969"/>
        <w:gridCol w:w="6520"/>
      </w:tblGrid>
      <w:tr w14:paraId="6428FA58"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12EF6DE">
            <w:pPr>
              <w:pStyle w:val="SDSTableTextHeading1"/>
              <w:rPr>
                <w:noProof w:val="0"/>
                <w:color w:val="auto"/>
              </w:rPr>
            </w:pPr>
            <w:r w:rsidRPr="0069446B" w:rsidR="00FA7F7F">
              <w:rPr>
                <w:noProof/>
                <w:color w:val="auto"/>
              </w:rPr>
              <w:t>anisaldehyde (123-11-5)</w:t>
            </w:r>
          </w:p>
        </w:tc>
      </w:tr>
      <w:tr w14:paraId="6CC585F6"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2-benzylideneheptanal (122-40-7)</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4.53 Temp.: 26,8 °C Concentration: 1 vol</w:t>
            </w:r>
            <w:r w:rsidRPr="0069446B">
              <w:rPr>
                <w:rFonts w:hint="eastAsia"/>
                <w:noProof/>
                <w:lang w:eastAsia="ja-JP"/>
              </w:rPr>
              <w:t>%</w:t>
            </w:r>
          </w:p>
        </w:tc>
      </w:tr>
    </w:tbl>
    <w:p w:rsidR="00A7593A" w:rsidRPr="0069446B" w:rsidP="009215A8" w14:textId="6455FAA7">
      <w:pPr>
        <w:pStyle w:val="SDSTextBlankLine"/>
      </w:pPr>
    </w:p>
    <w:tbl>
      <w:tblPr>
        <w:tblStyle w:val="SDSTableWithBordersWithHeaderRow"/>
        <w:tblW w:w="10489" w:type="dxa"/>
        <w:tblLayout w:type="fixed"/>
        <w:tblLook w:val="0020"/>
      </w:tblPr>
      <w:tblGrid>
        <w:gridCol w:w="3969"/>
        <w:gridCol w:w="6520"/>
      </w:tblGrid>
      <w:tr w14:paraId="4FDDC6C5"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textId="15263CC9">
            <w:pPr>
              <w:pStyle w:val="SDSTableTextHeading1"/>
              <w:rPr>
                <w:noProof w:val="0"/>
                <w:color w:val="auto"/>
              </w:rPr>
            </w:pPr>
            <w:r w:rsidRPr="0069446B" w:rsidR="00FA7F7F">
              <w:rPr>
                <w:noProof/>
                <w:color w:val="auto"/>
              </w:rPr>
              <w:t>anisaldehyde (123-11-5)</w:t>
            </w:r>
          </w:p>
        </w:tc>
      </w:tr>
      <w:tr w14:paraId="58CDE2D2"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lotus blanc et coton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2-benzylideneheptanal (122-40-7)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0.91 mg/l Test organisms (species): not specified</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0.28 mg/l Test organisms (species): Daphnia sp.</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1.5 mg/l Test organisms (species): not specified</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2.3 mg/l Test organisms (species): not specified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0.041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lotus blanc et coton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2-benzylideneheptanal (122-40-7)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Partition coefficient n-octanol/water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lotus blanc et coton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lotus blanc et coton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03C3481-908F-46F7-ADC2-4ADE242F619E}"/>
</file>

<file path=customXml/itemProps3.xml><?xml version="1.0" encoding="utf-8"?>
<ds:datastoreItem xmlns:ds="http://schemas.openxmlformats.org/officeDocument/2006/customXml" ds:itemID="{73BAFFAF-DCCB-4A4B-A4C4-FA4E7624EF06}"/>
</file>

<file path=customXml/itemProps4.xml><?xml version="1.0" encoding="utf-8"?>
<ds:datastoreItem xmlns:ds="http://schemas.openxmlformats.org/officeDocument/2006/customXml" ds:itemID="{EF0A12BF-718F-4E9E-9328-0EF51C624D61}"/>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