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Candle jardin marin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p w:rsidR="00827634" w:rsidRPr="0069446B" w:rsidP="009E5102" w14:paraId="2D05B3D4" w14:textId="5E45E9EA">
      <w:pPr>
        <w:pStyle w:val="SDSTextNormal"/>
      </w:pPr>
      <w:r w:rsidRPr="0069446B">
        <w:rPr>
          <w:noProof/>
        </w:rPr>
        <w:t>Intended for general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Main use category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Consumer use</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Hazardous to the aquatic environment – Chronic Hazard, Category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Full text of H- and EUH-statements: see section 16</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sidRPr="0069446B">
        <w:rPr>
          <w:noProof/>
        </w:rPr>
        <w:t>Harmful to aquatic life with long lasting effects.</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Hazard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Harmful to aquatic life with long lasting effects.</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P273 - Avoid release to the environment.</w:t>
              <w:br/>
              <w:t>P501 - Dispose of contents and container to a sorting center, in accordance with local regulations.</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EUH-statements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Contains GERANIOL, HYDROXYCITRONELLAL, CEDROL METHYL ETHER, BENZYL SALICYLATE, linalool, PRENOL, ISOAMYL SALICYLATE. May produce an allergic reaction.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69446B" w:rsidP="00B072A8" w14:paraId="7788D936" w14:textId="77777777">
      <w:pPr>
        <w:pStyle w:val="SDSTextBlankLine"/>
      </w:pPr>
    </w:p>
    <w:tbl>
      <w:tblPr>
        <w:tblStyle w:val="SDSTableWithBordersWithHeaderRow"/>
        <w:tblW w:w="10495" w:type="dxa"/>
        <w:tblLayout w:type="fixed"/>
        <w:tblLook w:val="04A0"/>
      </w:tblPr>
      <w:tblGrid>
        <w:gridCol w:w="3969"/>
        <w:gridCol w:w="6526"/>
      </w:tblGrid>
      <w:tr w14:paraId="6251E307" w14:textId="77777777" w:rsidTr="0069446B">
        <w:tblPrEx>
          <w:tblW w:w="10495" w:type="dxa"/>
          <w:tblLayout w:type="fixed"/>
          <w:tblLook w:val="04A0"/>
        </w:tblPrEx>
        <w:trPr>
          <w:trHeight w:val="20"/>
          <w:tblHeader/>
        </w:trPr>
        <w:tc>
          <w:tcPr>
            <w:tcW w:w="10495"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5BC2FC32" w14:textId="6E368FEE">
            <w:pPr>
              <w:pStyle w:val="SDSTableTextHeading1"/>
              <w:rPr>
                <w:noProof w:val="0"/>
                <w:color w:val="auto"/>
              </w:rPr>
            </w:pPr>
            <w:r w:rsidRPr="0069446B" w:rsidR="00FA7F7F">
              <w:rPr>
                <w:noProof/>
                <w:color w:val="auto"/>
              </w:rPr>
              <w:t>Component</w:t>
            </w:r>
          </w:p>
        </w:tc>
      </w:tr>
      <w:tr w14:paraId="66B1B816" w14:textId="77777777" w:rsidTr="0069446B">
        <w:tblPrEx>
          <w:tblW w:w="10495"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EE2C69" w14:paraId="5409109E" w14:textId="3B1ED55A">
            <w:pPr>
              <w:pStyle w:val="SDSTableTextNormal"/>
              <w:rPr>
                <w:noProof w:val="0"/>
              </w:rPr>
            </w:pPr>
            <w:r w:rsidRPr="0069446B">
              <w:rPr>
                <w:noProof/>
              </w:rPr>
              <w:t>Substance(s) not included in the list established in accordance with Article 59(1) of REACH for having endocrine disrupting properties, or is not identified as having endocrine disrupting properties in accordance with the criteria set out in Commission Delegated Regulation (EU) 2017/2100 or Commission Regulation (EU) 2018/605</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573B2F" w:rsidRPr="0069446B" w:rsidP="00EE2C69" w14:paraId="384C6B00" w14:textId="2079666F">
            <w:pPr>
              <w:pStyle w:val="SDSTableTextNormal"/>
              <w:rPr>
                <w:noProof w:val="0"/>
              </w:rPr>
            </w:pPr>
            <w:r w:rsidRPr="0069446B" w:rsidR="00FA7F7F">
              <w:rPr>
                <w:noProof/>
              </w:rPr>
              <w:t>geraniol (106-24-1)</w:t>
            </w:r>
          </w:p>
        </w:tc>
      </w:tr>
    </w:tbl>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118-58-1</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204-262-9</w:t>
            </w:r>
          </w:p>
          <w:p w:rsidR="00827634" w:rsidRPr="0069446B" w:rsidP="009B0F88" w14:paraId="6ACDC690"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607-754-00-5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0.42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Sens. 1B, H317</w:t>
              <w:br/>
              <w:t>Aquatic Chronic 3, H412</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methyl cedryl ether</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19870-74-7</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243-384-7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0.385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1, H410</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7-hydroxycitronellal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107-75-5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203-518-7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2-isopropoxyethyl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79915-74-5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209-141-4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bodyweight)</w:t>
              <w:b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isopentyl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87-20-7</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201-730-4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2, H411</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201-134-4</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0.1757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geraniol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106-24-1</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203-377-1</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603-241-00-5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0.1722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Dam. 1, H318</w:t>
              <w:br/>
              <w:t>Skin Sens. 1, H317</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Wash skin with plenty of water.</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None under normal conditions. Dust may cause irritation in skin folds or by contact in combination with tight clothing.</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Ventilate spillage area.</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Using a clean shovel, put the material in a dry container and cover without compressing 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herbaceous. aromatic. Woody. Marine. Hesperidaceae.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geraniol (106-24-1)</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3600 mg/kg bodyweight Animal: rat, 95% CL: 2840 - 4570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sidR="00FA7F7F">
              <w:rPr>
                <w:noProof/>
              </w:rPr>
              <w:t>&gt; 5000 mg/kg bodyweight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7-hydroxycitronellal (107-75-5)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6400 mg/kg bodyweight Animal: rat, Guideline: OECD Guideline 401 (Acute Oral Toxicity)</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2000 mg/kg bodyweight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salicylate (118-58-1)</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bodyweight Animal: rabbit, Guideline: EU Method B.3 (Acute Toxicity (Dermal))</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bodyweight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bodyweight Animal: mouse, Guideline: OECD Guideline 401 (Acute Oral Toxicity), 95% CL: 2620 - 3620</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bodyweight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2-isopropoxyethyl salicylate (79915-74-5)</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300 – 2000 mg/kg bodyweight Animal: rat, Animal sex: female, Guideline: OECD Guideline 423 (Acute Oral toxicity - Acute Toxic Class Method)</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bodyweight Animal: rat, Guideline: OECD Guideline 402 (Acute Dermal Toxicity), Guideline: EU Method B.3 (Acute Toxicity (Dermal)), Guideline: EPA OPPTS 870.1200 (Acute Dermal Toxicity),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isopentyl salicylate (87-20-7)</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sidR="00FA7F7F">
              <w:rPr>
                <w:noProof/>
              </w:rPr>
              <w:t>1310 mg/kg bodyweight Animal: rat</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sidR="00FA7F7F">
              <w:rPr>
                <w:noProof/>
              </w:rPr>
              <w:t>1310 mg/kg bodyweight Animal:</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Not classified (Based on available data, the classification criteria are not met)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geraniol (106-24-1)</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sidR="00FA7F7F">
              <w:rPr>
                <w:noProof/>
              </w:rPr>
              <w:t>NOAEL (chronic, oral, animal/male, 2 years)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bodyweight Animal: mouse, Animal sex: male, Guideline: OECD Guideline 453 (Combined Chronic Toxicity / Carcinogenicity Studies)</w:t>
            </w:r>
          </w:p>
        </w:tc>
      </w:tr>
    </w:tbl>
    <w:p w:rsidR="00827634" w:rsidRPr="0069446B" w:rsidP="003E0104" w14:textId="0F48635D">
      <w:pPr>
        <w:pStyle w:val="SDSTextBlankLine"/>
      </w:pPr>
    </w:p>
    <w:tbl>
      <w:tblPr>
        <w:tblStyle w:val="SDSTableWithBordersWithHeaderRow"/>
        <w:tblW w:w="10489" w:type="dxa"/>
        <w:tblLayout w:type="fixed"/>
        <w:tblLook w:val="04A0"/>
      </w:tblPr>
      <w:tblGrid>
        <w:gridCol w:w="3969"/>
        <w:gridCol w:w="6520"/>
      </w:tblGrid>
      <w:tr w14:paraId="30ACEB52"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3F55FECE">
            <w:pPr>
              <w:pStyle w:val="SDSTableTextHeading1"/>
              <w:rPr>
                <w:noProof w:val="0"/>
                <w:color w:val="auto"/>
              </w:rPr>
            </w:pPr>
            <w:r w:rsidRPr="0069446B" w:rsidR="00FA7F7F">
              <w:rPr>
                <w:noProof/>
                <w:color w:val="auto"/>
              </w:rPr>
              <w:t>7-hydroxycitronellal (107-75-5)</w:t>
            </w:r>
          </w:p>
        </w:tc>
      </w:tr>
      <w:tr w14:paraId="095C82A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F4EB77">
            <w:pPr>
              <w:pStyle w:val="SDSTableTextNormal"/>
              <w:rPr>
                <w:noProof w:val="0"/>
              </w:rPr>
            </w:pPr>
            <w:r w:rsidRPr="0069446B" w:rsidR="00FA7F7F">
              <w:rPr>
                <w:noProof/>
              </w:rPr>
              <w:t>NOAEL (chronic, oral, animal/male, 2 years)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52C4C8">
            <w:pPr>
              <w:pStyle w:val="SDSTableTextNormal"/>
              <w:rPr>
                <w:noProof w:val="0"/>
              </w:rPr>
            </w:pPr>
            <w:r w:rsidRPr="0069446B">
              <w:rPr>
                <w:noProof/>
              </w:rPr>
              <w:t>60 mg/kg bodyweight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benzyl salicylate (118-58-1)</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158 mg/kg bodyweight Animal: rat, Animal sex: female, Guideline: OECD Guideline 421 (Reproduction / Developmental Toxicity Screening Test)</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2-isopropoxyethyl salicylate (79915-74-5)</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100 – 200 mg/kg bodyweight Animal: rat, Animal sex: female, Guideline: OECD Guideline 422 (Combined Repeated Dose Toxicity Study with the Reproduction / Developmental Toxicity Screening Test)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geraniol (106-24-1)</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300 mg/kg bodyweight Animal: rat, Guideline: other:,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7-hydroxycitronellal (107-75-5)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 mg/kg bodyweight Animal: rat, Guideline: OECD Guideline 453 (Combined Chronic Toxicity / Carcinogenicity Studies)</w:t>
            </w:r>
          </w:p>
        </w:tc>
      </w:tr>
      <w:tr w14:paraId="6B0A5EE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7C20CFC" w14:textId="6F7047DD">
            <w:pPr>
              <w:pStyle w:val="SDSTableTextNormal"/>
              <w:rPr>
                <w:noProof w:val="0"/>
              </w:rPr>
            </w:pPr>
            <w:r w:rsidRPr="0069446B" w:rsidR="00FA7F7F">
              <w:rPr>
                <w:noProof/>
              </w:rPr>
              <w:t>NOAEL (subchronic, oral, animal/male,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A78E587" w14:textId="4F8C43C8">
            <w:pPr>
              <w:pStyle w:val="SDSTableTextNormal"/>
              <w:rPr>
                <w:noProof w:val="0"/>
              </w:rPr>
            </w:pPr>
            <w:r w:rsidRPr="0069446B">
              <w:rPr>
                <w:noProof/>
              </w:rPr>
              <w:t>60 mg/kg bodyweight Animal: mouse, Animal sex: male, Guideline: OECD Guideline 453 (Combined Chronic Toxicity / Carcinogenicity Studies)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salicylate (118-58-1)</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177 mg/kg bodyweight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bodyweight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Candle jardin marin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1" w:name="_Hlk54089399"/>
      <w:r w:rsidRPr="0069446B" w:rsidR="00FA7F7F">
        <w:rPr>
          <w:noProof/>
          <w:color w:val="auto"/>
          <w:lang w:val="en-GB"/>
        </w:rPr>
        <w:t>Information on other hazards</w:t>
      </w:r>
      <w:bookmarkEnd w:id="1"/>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Harmful to aquatic life with long lasting effects.</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Harmful to aquatic life with long lasting effects.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geraniol (106-24-1)</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 22 mg/l Test organisms (species): Danio rerio (previous name: Brachydanio rerio)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10.8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7-hydroxycitronellal (107-75-5)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31.6 mg/l Test organisms (species): Leuciscus idus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410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123.32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salicylate (118-58-1)</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1.03 mg/l Test organisms (species): Danio rerio (previous name: Brachydanio rerio)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1.16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0.691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1.29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EC50 96h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2-isopropoxyethyl salicylate (79915-74-5)</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3.7 mg/l Test organisms (species): Oncorhynchus mykiss (previous name: Salmo gairdneri)</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24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9.5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3.5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isopentyl salicylate (87-20-7)</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1.97 mg/l Test organisms (species): Daphnia magna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1.12 mg/l Test organisms (species): Raphidocelis subcapitata (previous names: Pseudokirchneriella subcapitata, Selenastrum capricornutum)</w:t>
            </w:r>
          </w:p>
        </w:tc>
      </w:tr>
      <w:tr w14:paraId="14947BF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0.298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Candle jardin marin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geraniol (106-24-1)</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7-hydroxycitronellal (107-75-5)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methyl cedryl ether (19870-74-7)</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2-isopropoxyethyl salicylate (79915-74-5)</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isopentyl salicylate (87-20-7)</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p w:rsidR="009F53E3" w:rsidRPr="0069446B" w:rsidP="009E5102" w14:paraId="4CF14847" w14:textId="031A2CAD">
      <w:pPr>
        <w:pStyle w:val="SDSTextNormal"/>
        <w:bidi w:val="0"/>
        <w:rPr>
          <w:rtl w:val="0"/>
        </w:rPr>
      </w:pPr>
      <w:r w:rsidRPr="0069446B">
        <w:rPr>
          <w:rtl w:val="0"/>
        </w:rPr>
        <w:t>No additional information available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2"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2"/>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 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“Ecotoxic:” waste which presents or may present immediate or delayed risks for one or more sectors of the environment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pin-2(3)-ene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 4.1</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pin-2(3)-ene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2.1 to 2.4, 2.6 and 2.7, 2.8 types A and B, 2.9, 2.10, 2.12, 2.13 categories 1 and 2, 2.14 categories 1 and 2, 2.15 types A to F</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geraniol ; 7-hydroxycitronellal ; linalool ; pin-2(3)-ene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Acute toxicity (oral), Category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Acute Hazard, Category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1</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if swallowed.</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damage.</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irritation.</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 with long lasting effects.</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 to aquatic life with long lasting effects.</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to aquatic life with long lasting effects.</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Contains GERANIOL, HYDROXYCITRONELLAL, CEDROL METHYL ETHER, BENZYL SALICYLATE, linalool, PRENOL, ISOAMYL SALICYLATE. May produce an allergic reaction.</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and procedure used to derive the classification for mixtures according to Regulation (EC)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Calculation method</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7/9/2026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12</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7/9/2026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Candle jardin marin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Candle jardin marin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7/9/2026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2F81F066-DC60-4E00-A65B-7781F8B13300}"/>
</file>

<file path=customXml/itemProps3.xml><?xml version="1.0" encoding="utf-8"?>
<ds:datastoreItem xmlns:ds="http://schemas.openxmlformats.org/officeDocument/2006/customXml" ds:itemID="{AA545D26-D52A-46B9-AA5E-117ABE13A272}"/>
</file>

<file path=customXml/itemProps4.xml><?xml version="1.0" encoding="utf-8"?>
<ds:datastoreItem xmlns:ds="http://schemas.openxmlformats.org/officeDocument/2006/customXml" ds:itemID="{46CE73BA-BB22-4F31-BC05-78956EC16699}"/>
</file>

<file path=docProps/app.xml><?xml version="1.0" encoding="utf-8"?>
<Properties xmlns="http://schemas.openxmlformats.org/officeDocument/2006/extended-properties" xmlns:vt="http://schemas.openxmlformats.org/officeDocument/2006/docPropsVTypes">
  <Template>Normal</Template>
  <TotalTime>219</TotalTime>
  <Pages>12</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