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jardin de pringtemps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linalool, linalyl acetate, LIMONENE.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0.3815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Yellow. 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Powdered. Floral. Green.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bodyweight Animal: rat, Guideline: OECD Guideline 422 (Combined Repeated Dose Toxicity Study with the Reproduction / Developmental Toxicity Screening Test)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jardin de pringtemps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jardin de pringtemps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linalool, linalyl acetate, LIMONENE.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jardin de pringtemps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jardin de pringtemps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6/9/2026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A9D844E-2AE2-4D1F-AA8B-71AF55837264}"/>
</file>

<file path=customXml/itemProps3.xml><?xml version="1.0" encoding="utf-8"?>
<ds:datastoreItem xmlns:ds="http://schemas.openxmlformats.org/officeDocument/2006/customXml" ds:itemID="{5096C38A-67D1-4B41-A606-CB09095C05DE}"/>
</file>

<file path=customXml/itemProps4.xml><?xml version="1.0" encoding="utf-8"?>
<ds:datastoreItem xmlns:ds="http://schemas.openxmlformats.org/officeDocument/2006/customXml" ds:itemID="{21902D31-FD3A-4143-973A-367CC6443D83}"/>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