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jardin de pringtemps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PINENE, linalool, linalyl acetate, LIMONENE, citronellol.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pin-2(10)-ene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127-91-3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204-872-5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Powdered. Floral. Green.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bodyweight Animal: rat, Guideline: OECD Guideline 422 (Combined Repeated Dose Toxicity Study with the Reproduction / Developmental Toxicity Screening Test)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jardin de pringtemps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jardin de pringtemps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pin-2(10)-ene (127-91-3)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PINENE, linalool, linalyl acetate, LIMONENE, citronellol.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jardin de pringtemps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jardin de pringtemps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6/9/2026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7804039-28AA-4F4C-A4EE-7AFB546C5ED7}"/>
</file>

<file path=customXml/itemProps3.xml><?xml version="1.0" encoding="utf-8"?>
<ds:datastoreItem xmlns:ds="http://schemas.openxmlformats.org/officeDocument/2006/customXml" ds:itemID="{CD8E4067-FC8A-4324-B633-F39E57FEC459}"/>
</file>

<file path=customXml/itemProps4.xml><?xml version="1.0" encoding="utf-8"?>
<ds:datastoreItem xmlns:ds="http://schemas.openxmlformats.org/officeDocument/2006/customXml" ds:itemID="{215F0851-9F12-445A-899C-4459D60B9FB7}"/>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